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8689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689340"/>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Agarwal Amit</w:t>
              </w:r>
            </w:hyperlink>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Datadog,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DDOG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06/25/2026</w:t>
            </w:r>
          </w:p>
        </w:tc>
        <w:tc>
          <w:tcPr>
            <w:tcW w:w="2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DATADOG, INC.</w:t>
            </w:r>
          </w:p>
        </w:tc>
        <w:tc>
          <w:tcPr>
            <w:tcW w:w="12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26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620 8TH AVENUE, 45TH FLOOR</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10018</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2"/>
                <w:szCs w:val="12"/>
                <w:b w:val="1"/>
                <w:bCs w:val="1"/>
                <w:color w:val="auto"/>
                <w:w w:val="95"/>
              </w:rPr>
              <w:t>4. Securities Acquired (A) or Disposed</w:t>
            </w:r>
          </w:p>
        </w:tc>
        <w:tc>
          <w:tcPr>
            <w:tcW w:w="1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0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12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3"/>
              </w:rPr>
              <w:t>Of (D) (Instr. 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jc w:val="center"/>
              <w:ind w:left="346"/>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ind w:right="49"/>
              <w:spacing w:after="0" w:line="128" w:lineRule="exact"/>
              <w:rPr>
                <w:sz w:val="20"/>
                <w:szCs w:val="20"/>
                <w:color w:val="auto"/>
              </w:rPr>
            </w:pPr>
            <w:r>
              <w:rPr>
                <w:rFonts w:ascii="Arial" w:cs="Arial" w:eastAsia="Arial" w:hAnsi="Arial"/>
                <w:sz w:val="12"/>
                <w:szCs w:val="12"/>
                <w:b w:val="1"/>
                <w:bCs w:val="1"/>
                <w:color w:val="auto"/>
                <w:w w:val="99"/>
              </w:rPr>
              <w:t>(A) or</w:t>
            </w:r>
          </w:p>
        </w:tc>
        <w:tc>
          <w:tcPr>
            <w:tcW w:w="8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A</w:t>
            </w:r>
          </w:p>
        </w:tc>
        <w:tc>
          <w:tcPr>
            <w:tcW w:w="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21,640</w:t>
            </w:r>
          </w:p>
        </w:tc>
        <w:tc>
          <w:tcPr>
            <w:tcW w:w="280" w:type="dxa"/>
            <w:vAlign w:val="bottom"/>
          </w:tcPr>
          <w:p>
            <w:pPr>
              <w:spacing w:after="0"/>
              <w:rPr>
                <w:sz w:val="21"/>
                <w:szCs w:val="21"/>
                <w:color w:val="auto"/>
              </w:rPr>
            </w:pPr>
          </w:p>
        </w:tc>
        <w:tc>
          <w:tcPr>
            <w:tcW w:w="6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3"/>
              </w:rPr>
              <w:t>600</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gridSpan w:val="4"/>
            <w:vMerge w:val="restart"/>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214.5167</w:t>
            </w:r>
            <w:r>
              <w:rPr>
                <w:rFonts w:ascii="Times New Roman" w:cs="Times New Roman" w:eastAsia="Times New Roman" w:hAnsi="Times New Roman"/>
                <w:sz w:val="21"/>
                <w:szCs w:val="21"/>
                <w:color w:val="008000"/>
                <w:w w:val="93"/>
                <w:vertAlign w:val="superscript"/>
              </w:rPr>
              <w:t>(4)</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21,040</w:t>
            </w:r>
          </w:p>
        </w:tc>
        <w:tc>
          <w:tcPr>
            <w:tcW w:w="280" w:type="dxa"/>
            <w:vAlign w:val="bottom"/>
          </w:tcPr>
          <w:p>
            <w:pPr>
              <w:spacing w:after="0"/>
              <w:rPr>
                <w:sz w:val="21"/>
                <w:szCs w:val="21"/>
                <w:color w:val="auto"/>
              </w:rPr>
            </w:pPr>
          </w:p>
        </w:tc>
        <w:tc>
          <w:tcPr>
            <w:tcW w:w="6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3"/>
              </w:rPr>
              <w:t>900</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D</w:t>
            </w:r>
          </w:p>
        </w:tc>
        <w:tc>
          <w:tcPr>
            <w:tcW w:w="6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216.03</w:t>
            </w:r>
            <w:r>
              <w:rPr>
                <w:rFonts w:ascii="Times New Roman" w:cs="Times New Roman" w:eastAsia="Times New Roman" w:hAnsi="Times New Roman"/>
                <w:sz w:val="21"/>
                <w:szCs w:val="21"/>
                <w:color w:val="008000"/>
                <w:w w:val="90"/>
                <w:vertAlign w:val="superscript"/>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20,140</w:t>
            </w:r>
          </w:p>
        </w:tc>
        <w:tc>
          <w:tcPr>
            <w:tcW w:w="280" w:type="dxa"/>
            <w:vAlign w:val="bottom"/>
          </w:tcPr>
          <w:p>
            <w:pPr>
              <w:spacing w:after="0"/>
              <w:rPr>
                <w:sz w:val="21"/>
                <w:szCs w:val="21"/>
                <w:color w:val="auto"/>
              </w:rPr>
            </w:pPr>
          </w:p>
        </w:tc>
        <w:tc>
          <w:tcPr>
            <w:tcW w:w="6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D</w:t>
            </w:r>
          </w:p>
        </w:tc>
        <w:tc>
          <w:tcPr>
            <w:tcW w:w="60" w:type="dxa"/>
            <w:vAlign w:val="bottom"/>
          </w:tcPr>
          <w:p>
            <w:pPr>
              <w:spacing w:after="0"/>
              <w:rPr>
                <w:sz w:val="21"/>
                <w:szCs w:val="21"/>
                <w:color w:val="auto"/>
              </w:rPr>
            </w:pPr>
          </w:p>
        </w:tc>
        <w:tc>
          <w:tcPr>
            <w:tcW w:w="7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216.926</w:t>
            </w:r>
            <w:r>
              <w:rPr>
                <w:rFonts w:ascii="Times New Roman" w:cs="Times New Roman" w:eastAsia="Times New Roman" w:hAnsi="Times New Roman"/>
                <w:sz w:val="21"/>
                <w:szCs w:val="21"/>
                <w:color w:val="008000"/>
                <w:w w:val="93"/>
                <w:vertAlign w:val="superscript"/>
              </w:rPr>
              <w:t>(6)</w:t>
            </w: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19,140</w:t>
            </w:r>
          </w:p>
        </w:tc>
        <w:tc>
          <w:tcPr>
            <w:tcW w:w="280" w:type="dxa"/>
            <w:vAlign w:val="bottom"/>
          </w:tcPr>
          <w:p>
            <w:pPr>
              <w:spacing w:after="0"/>
              <w:rPr>
                <w:sz w:val="21"/>
                <w:szCs w:val="21"/>
                <w:color w:val="auto"/>
              </w:rPr>
            </w:pPr>
          </w:p>
        </w:tc>
        <w:tc>
          <w:tcPr>
            <w:tcW w:w="6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1,433</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gridSpan w:val="4"/>
            <w:vMerge w:val="restart"/>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218.3927</w:t>
            </w:r>
            <w:r>
              <w:rPr>
                <w:rFonts w:ascii="Times New Roman" w:cs="Times New Roman" w:eastAsia="Times New Roman" w:hAnsi="Times New Roman"/>
                <w:sz w:val="21"/>
                <w:szCs w:val="21"/>
                <w:color w:val="008000"/>
                <w:w w:val="93"/>
                <w:vertAlign w:val="superscript"/>
              </w:rPr>
              <w:t>(7)</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17,707</w:t>
            </w:r>
          </w:p>
        </w:tc>
        <w:tc>
          <w:tcPr>
            <w:tcW w:w="280" w:type="dxa"/>
            <w:vAlign w:val="bottom"/>
          </w:tcPr>
          <w:p>
            <w:pPr>
              <w:spacing w:after="0"/>
              <w:rPr>
                <w:sz w:val="21"/>
                <w:szCs w:val="21"/>
                <w:color w:val="auto"/>
              </w:rPr>
            </w:pPr>
          </w:p>
        </w:tc>
        <w:tc>
          <w:tcPr>
            <w:tcW w:w="6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2,277</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gridSpan w:val="4"/>
            <w:vMerge w:val="restart"/>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219.2509</w:t>
            </w:r>
            <w:r>
              <w:rPr>
                <w:rFonts w:ascii="Times New Roman" w:cs="Times New Roman" w:eastAsia="Times New Roman" w:hAnsi="Times New Roman"/>
                <w:sz w:val="21"/>
                <w:szCs w:val="21"/>
                <w:color w:val="008000"/>
                <w:w w:val="93"/>
                <w:vertAlign w:val="superscript"/>
              </w:rPr>
              <w:t>(8)</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15,430</w:t>
            </w:r>
          </w:p>
        </w:tc>
        <w:tc>
          <w:tcPr>
            <w:tcW w:w="280" w:type="dxa"/>
            <w:vAlign w:val="bottom"/>
          </w:tcPr>
          <w:p>
            <w:pPr>
              <w:spacing w:after="0"/>
              <w:rPr>
                <w:sz w:val="21"/>
                <w:szCs w:val="21"/>
                <w:color w:val="auto"/>
              </w:rPr>
            </w:pPr>
          </w:p>
        </w:tc>
        <w:tc>
          <w:tcPr>
            <w:tcW w:w="6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5,426</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gridSpan w:val="4"/>
            <w:vMerge w:val="restart"/>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220.2848</w:t>
            </w:r>
            <w:r>
              <w:rPr>
                <w:rFonts w:ascii="Times New Roman" w:cs="Times New Roman" w:eastAsia="Times New Roman" w:hAnsi="Times New Roman"/>
                <w:sz w:val="21"/>
                <w:szCs w:val="21"/>
                <w:color w:val="008000"/>
                <w:w w:val="93"/>
                <w:vertAlign w:val="superscript"/>
              </w:rPr>
              <w:t>(9)</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10,004</w:t>
            </w:r>
          </w:p>
        </w:tc>
        <w:tc>
          <w:tcPr>
            <w:tcW w:w="280" w:type="dxa"/>
            <w:vAlign w:val="bottom"/>
          </w:tcPr>
          <w:p>
            <w:pPr>
              <w:spacing w:after="0"/>
              <w:rPr>
                <w:sz w:val="21"/>
                <w:szCs w:val="21"/>
                <w:color w:val="auto"/>
              </w:rPr>
            </w:pPr>
          </w:p>
        </w:tc>
        <w:tc>
          <w:tcPr>
            <w:tcW w:w="6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3,946</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gridSpan w:val="4"/>
            <w:vMerge w:val="restart"/>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221.1868</w:t>
            </w:r>
            <w:r>
              <w:rPr>
                <w:rFonts w:ascii="Times New Roman" w:cs="Times New Roman" w:eastAsia="Times New Roman" w:hAnsi="Times New Roman"/>
                <w:sz w:val="21"/>
                <w:szCs w:val="21"/>
                <w:color w:val="008000"/>
                <w:w w:val="93"/>
                <w:vertAlign w:val="superscript"/>
              </w:rPr>
              <w:t>(10)</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6,058</w:t>
            </w:r>
          </w:p>
        </w:tc>
        <w:tc>
          <w:tcPr>
            <w:tcW w:w="280" w:type="dxa"/>
            <w:vAlign w:val="bottom"/>
          </w:tcPr>
          <w:p>
            <w:pPr>
              <w:spacing w:after="0"/>
              <w:rPr>
                <w:sz w:val="21"/>
                <w:szCs w:val="21"/>
                <w:color w:val="auto"/>
              </w:rPr>
            </w:pPr>
          </w:p>
        </w:tc>
        <w:tc>
          <w:tcPr>
            <w:tcW w:w="6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3,903</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gridSpan w:val="4"/>
            <w:vMerge w:val="restart"/>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222.1599</w:t>
            </w:r>
            <w:r>
              <w:rPr>
                <w:rFonts w:ascii="Times New Roman" w:cs="Times New Roman" w:eastAsia="Times New Roman" w:hAnsi="Times New Roman"/>
                <w:sz w:val="21"/>
                <w:szCs w:val="21"/>
                <w:color w:val="008000"/>
                <w:w w:val="93"/>
                <w:vertAlign w:val="superscript"/>
              </w:rPr>
              <w:t>(11)</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2,155</w:t>
            </w:r>
          </w:p>
        </w:tc>
        <w:tc>
          <w:tcPr>
            <w:tcW w:w="280" w:type="dxa"/>
            <w:vAlign w:val="bottom"/>
          </w:tcPr>
          <w:p>
            <w:pPr>
              <w:spacing w:after="0"/>
              <w:rPr>
                <w:sz w:val="21"/>
                <w:szCs w:val="21"/>
                <w:color w:val="auto"/>
              </w:rPr>
            </w:pPr>
          </w:p>
        </w:tc>
        <w:tc>
          <w:tcPr>
            <w:tcW w:w="6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6"/>
              <w:spacing w:after="0"/>
              <w:rPr>
                <w:sz w:val="20"/>
                <w:szCs w:val="20"/>
                <w:color w:val="auto"/>
              </w:rPr>
            </w:pPr>
            <w:r>
              <w:rPr>
                <w:rFonts w:ascii="Times New Roman" w:cs="Times New Roman" w:eastAsia="Times New Roman" w:hAnsi="Times New Roman"/>
                <w:sz w:val="17"/>
                <w:szCs w:val="17"/>
                <w:color w:val="0000FF"/>
                <w:w w:val="98"/>
              </w:rPr>
              <w:t>06/25/2026</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3"/>
              </w:rPr>
              <w:t>515</w:t>
            </w:r>
          </w:p>
        </w:tc>
        <w:tc>
          <w:tcPr>
            <w:tcW w:w="5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gridSpan w:val="4"/>
            <w:vMerge w:val="restart"/>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223.2321</w:t>
            </w:r>
            <w:r>
              <w:rPr>
                <w:rFonts w:ascii="Times New Roman" w:cs="Times New Roman" w:eastAsia="Times New Roman" w:hAnsi="Times New Roman"/>
                <w:sz w:val="21"/>
                <w:szCs w:val="21"/>
                <w:color w:val="008000"/>
                <w:w w:val="93"/>
                <w:vertAlign w:val="superscript"/>
              </w:rPr>
              <w:t>(12)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1,640</w:t>
            </w:r>
          </w:p>
        </w:tc>
        <w:tc>
          <w:tcPr>
            <w:tcW w:w="280" w:type="dxa"/>
            <w:vAlign w:val="bottom"/>
          </w:tcPr>
          <w:p>
            <w:pPr>
              <w:spacing w:after="0"/>
              <w:rPr>
                <w:sz w:val="21"/>
                <w:szCs w:val="21"/>
                <w:color w:val="auto"/>
              </w:rPr>
            </w:pPr>
          </w:p>
        </w:tc>
        <w:tc>
          <w:tcPr>
            <w:tcW w:w="6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6,541</w:t>
            </w:r>
          </w:p>
        </w:tc>
        <w:tc>
          <w:tcPr>
            <w:tcW w:w="280" w:type="dxa"/>
            <w:vAlign w:val="bottom"/>
          </w:tcPr>
          <w:p>
            <w:pPr>
              <w:spacing w:after="0"/>
              <w:rPr>
                <w:sz w:val="21"/>
                <w:szCs w:val="21"/>
                <w:color w:val="auto"/>
              </w:rPr>
            </w:pPr>
          </w:p>
        </w:tc>
        <w:tc>
          <w:tcPr>
            <w:tcW w:w="6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29,071</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26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jc w:val="center"/>
              <w:ind w:right="49"/>
              <w:spacing w:after="0"/>
              <w:rPr>
                <w:sz w:val="20"/>
                <w:szCs w:val="20"/>
                <w:color w:val="auto"/>
              </w:rPr>
            </w:pPr>
            <w:r>
              <w:rPr>
                <w:rFonts w:ascii="Arial" w:cs="Arial" w:eastAsia="Arial" w:hAnsi="Arial"/>
                <w:sz w:val="12"/>
                <w:szCs w:val="12"/>
                <w:b w:val="1"/>
                <w:bCs w:val="1"/>
                <w:color w:val="auto"/>
                <w:w w:val="97"/>
              </w:rPr>
              <w:t>Title</w:t>
            </w:r>
          </w:p>
        </w:tc>
        <w:tc>
          <w:tcPr>
            <w:tcW w:w="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3"/>
                <w:szCs w:val="13"/>
                <w:color w:val="0000FF"/>
              </w:rPr>
              <w:t>By 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06/25/2026</w:t>
            </w:r>
          </w:p>
        </w:tc>
        <w:tc>
          <w:tcPr>
            <w:tcW w:w="1100" w:type="dxa"/>
            <w:vAlign w:val="bottom"/>
          </w:tcPr>
          <w:p>
            <w:pPr>
              <w:spacing w:after="0"/>
              <w:rPr>
                <w:sz w:val="12"/>
                <w:szCs w:val="12"/>
                <w:color w:val="auto"/>
              </w:rPr>
            </w:pPr>
          </w:p>
        </w:tc>
        <w:tc>
          <w:tcPr>
            <w:tcW w:w="4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400" w:type="dxa"/>
            <w:vAlign w:val="bottom"/>
          </w:tcPr>
          <w:p>
            <w:pPr>
              <w:spacing w:after="0"/>
              <w:rPr>
                <w:sz w:val="12"/>
                <w:szCs w:val="12"/>
                <w:color w:val="auto"/>
              </w:rPr>
            </w:pPr>
          </w:p>
        </w:tc>
        <w:tc>
          <w:tcPr>
            <w:tcW w:w="720" w:type="dxa"/>
            <w:vAlign w:val="bottom"/>
            <w:gridSpan w:val="2"/>
          </w:tcPr>
          <w:p>
            <w:pPr>
              <w:ind w:left="360"/>
              <w:spacing w:after="0" w:line="141" w:lineRule="exact"/>
              <w:rPr>
                <w:sz w:val="20"/>
                <w:szCs w:val="20"/>
                <w:color w:val="auto"/>
              </w:rPr>
            </w:pPr>
            <w:r>
              <w:rPr>
                <w:rFonts w:ascii="Times New Roman" w:cs="Times New Roman" w:eastAsia="Times New Roman" w:hAnsi="Times New Roman"/>
                <w:sz w:val="13"/>
                <w:szCs w:val="13"/>
                <w:color w:val="0000FF"/>
                <w:w w:val="94"/>
              </w:rPr>
              <w:t>20,000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ind w:left="8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rPr>
              <w:t>330,059</w:t>
            </w:r>
          </w:p>
        </w:tc>
        <w:tc>
          <w:tcPr>
            <w:tcW w:w="66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-1915160</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265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7230" cy="2265045"/>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bl>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2540" w:type="dxa"/>
            <w:vAlign w:val="bottom"/>
            <w:vMerge w:val="restart"/>
          </w:tcPr>
          <w:p>
            <w:pPr>
              <w:jc w:val="right"/>
              <w:ind w:right="2127"/>
              <w:spacing w:after="0"/>
              <w:rPr>
                <w:sz w:val="20"/>
                <w:szCs w:val="20"/>
                <w:color w:val="auto"/>
              </w:rPr>
            </w:pPr>
            <w:r>
              <w:rPr>
                <w:rFonts w:ascii="Times New Roman" w:cs="Times New Roman" w:eastAsia="Times New Roman" w:hAnsi="Times New Roman"/>
                <w:sz w:val="11"/>
                <w:szCs w:val="11"/>
                <w:color w:val="008000"/>
              </w:rPr>
              <w:t>(1)</w:t>
            </w:r>
          </w:p>
        </w:tc>
        <w:tc>
          <w:tcPr>
            <w:tcW w:w="2640" w:type="dxa"/>
            <w:vAlign w:val="bottom"/>
            <w:vMerge w:val="restart"/>
          </w:tcPr>
          <w:p>
            <w:pPr>
              <w:jc w:val="right"/>
              <w:ind w:right="267"/>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0000FF"/>
                <w:w w:val="97"/>
              </w:rPr>
              <w:t>Class A</w:t>
            </w:r>
          </w:p>
        </w:tc>
        <w:tc>
          <w:tcPr>
            <w:tcW w:w="112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color w:val="0000FF"/>
              </w:rPr>
              <w:t>593,464</w:t>
            </w:r>
          </w:p>
        </w:tc>
        <w:tc>
          <w:tcPr>
            <w:tcW w:w="1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47"/>
        </w:trPr>
        <w:tc>
          <w:tcPr>
            <w:tcW w:w="780" w:type="dxa"/>
            <w:vAlign w:val="bottom"/>
            <w:vMerge w:val="restart"/>
          </w:tcPr>
          <w:p>
            <w:pPr>
              <w:ind w:left="60"/>
              <w:spacing w:after="0" w:line="103" w:lineRule="exact"/>
              <w:rPr>
                <w:sz w:val="20"/>
                <w:szCs w:val="20"/>
                <w:color w:val="auto"/>
              </w:rPr>
            </w:pPr>
            <w:r>
              <w:rPr>
                <w:rFonts w:ascii="Times New Roman" w:cs="Times New Roman" w:eastAsia="Times New Roman" w:hAnsi="Times New Roman"/>
                <w:sz w:val="11"/>
                <w:szCs w:val="11"/>
                <w:color w:val="0000FF"/>
              </w:rPr>
              <w:t>Common</w:t>
            </w:r>
          </w:p>
        </w:tc>
        <w:tc>
          <w:tcPr>
            <w:tcW w:w="2540" w:type="dxa"/>
            <w:vAlign w:val="bottom"/>
            <w:vMerge w:val="continue"/>
          </w:tcPr>
          <w:p>
            <w:pPr>
              <w:spacing w:after="0"/>
              <w:rPr>
                <w:sz w:val="4"/>
                <w:szCs w:val="4"/>
                <w:color w:val="auto"/>
              </w:rPr>
            </w:pPr>
          </w:p>
        </w:tc>
        <w:tc>
          <w:tcPr>
            <w:tcW w:w="264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40" w:type="dxa"/>
            <w:vAlign w:val="bottom"/>
            <w:vMerge w:val="restart"/>
          </w:tcPr>
          <w:p>
            <w:pPr>
              <w:jc w:val="center"/>
              <w:ind w:left="38"/>
              <w:spacing w:after="0" w:line="103" w:lineRule="exact"/>
              <w:rPr>
                <w:sz w:val="20"/>
                <w:szCs w:val="20"/>
                <w:color w:val="auto"/>
              </w:rPr>
            </w:pPr>
            <w:r>
              <w:rPr>
                <w:rFonts w:ascii="Times New Roman" w:cs="Times New Roman" w:eastAsia="Times New Roman" w:hAnsi="Times New Roman"/>
                <w:sz w:val="11"/>
                <w:szCs w:val="11"/>
                <w:color w:val="0000FF"/>
              </w:rPr>
              <w:t>Common</w:t>
            </w:r>
          </w:p>
        </w:tc>
        <w:tc>
          <w:tcPr>
            <w:tcW w:w="1120" w:type="dxa"/>
            <w:vAlign w:val="bottom"/>
            <w:vMerge w:val="continue"/>
          </w:tcPr>
          <w:p>
            <w:pPr>
              <w:spacing w:after="0"/>
              <w:rPr>
                <w:sz w:val="4"/>
                <w:szCs w:val="4"/>
                <w:color w:val="auto"/>
              </w:rPr>
            </w:pPr>
          </w:p>
        </w:tc>
        <w:tc>
          <w:tcPr>
            <w:tcW w:w="1220" w:type="dxa"/>
            <w:vAlign w:val="bottom"/>
            <w:vMerge w:val="restart"/>
          </w:tcPr>
          <w:p>
            <w:pPr>
              <w:jc w:val="right"/>
              <w:ind w:right="241"/>
              <w:spacing w:after="0" w:line="103" w:lineRule="exact"/>
              <w:rPr>
                <w:sz w:val="20"/>
                <w:szCs w:val="20"/>
                <w:color w:val="auto"/>
              </w:rPr>
            </w:pPr>
            <w:r>
              <w:rPr>
                <w:rFonts w:ascii="Times New Roman" w:cs="Times New Roman" w:eastAsia="Times New Roman" w:hAnsi="Times New Roman"/>
                <w:sz w:val="11"/>
                <w:szCs w:val="11"/>
                <w:color w:val="0000FF"/>
              </w:rPr>
              <w:t>593,464</w:t>
            </w:r>
          </w:p>
        </w:tc>
        <w:tc>
          <w:tcPr>
            <w:tcW w:w="540" w:type="dxa"/>
            <w:vAlign w:val="bottom"/>
            <w:vMerge w:val="restart"/>
          </w:tcPr>
          <w:p>
            <w:pPr>
              <w:ind w:left="300"/>
              <w:spacing w:after="0" w:line="103" w:lineRule="exact"/>
              <w:rPr>
                <w:sz w:val="20"/>
                <w:szCs w:val="20"/>
                <w:color w:val="auto"/>
              </w:rPr>
            </w:pPr>
            <w:r>
              <w:rPr>
                <w:rFonts w:ascii="Times New Roman" w:cs="Times New Roman" w:eastAsia="Times New Roman" w:hAnsi="Times New Roman"/>
                <w:sz w:val="11"/>
                <w:szCs w:val="11"/>
                <w:color w:val="0000FF"/>
              </w:rPr>
              <w:t>I</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780" w:type="dxa"/>
            <w:vAlign w:val="bottom"/>
            <w:vMerge w:val="continue"/>
          </w:tcPr>
          <w:p>
            <w:pPr>
              <w:spacing w:after="0"/>
              <w:rPr>
                <w:sz w:val="4"/>
                <w:szCs w:val="4"/>
                <w:color w:val="auto"/>
              </w:rPr>
            </w:pPr>
          </w:p>
        </w:tc>
        <w:tc>
          <w:tcPr>
            <w:tcW w:w="2540" w:type="dxa"/>
            <w:vAlign w:val="bottom"/>
            <w:vMerge w:val="continue"/>
          </w:tcPr>
          <w:p>
            <w:pPr>
              <w:spacing w:after="0"/>
              <w:rPr>
                <w:sz w:val="4"/>
                <w:szCs w:val="4"/>
                <w:color w:val="auto"/>
              </w:rPr>
            </w:pPr>
          </w:p>
        </w:tc>
        <w:tc>
          <w:tcPr>
            <w:tcW w:w="264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860" w:type="dxa"/>
            <w:vAlign w:val="bottom"/>
          </w:tcPr>
          <w:p>
            <w:pPr>
              <w:ind w:left="200"/>
              <w:spacing w:after="0" w:line="56" w:lineRule="exact"/>
              <w:rPr>
                <w:sz w:val="20"/>
                <w:szCs w:val="20"/>
                <w:color w:val="auto"/>
              </w:rPr>
            </w:pPr>
            <w:r>
              <w:rPr>
                <w:rFonts w:ascii="Times New Roman" w:cs="Times New Roman" w:eastAsia="Times New Roman" w:hAnsi="Times New Roman"/>
                <w:sz w:val="5"/>
                <w:szCs w:val="5"/>
                <w:color w:val="0000FF"/>
              </w:rPr>
              <w:t>Trust</w:t>
            </w:r>
            <w:r>
              <w:rPr>
                <w:rFonts w:ascii="Times New Roman" w:cs="Times New Roman" w:eastAsia="Times New Roman" w:hAnsi="Times New Roman"/>
                <w:sz w:val="6"/>
                <w:szCs w:val="6"/>
                <w:color w:val="008000"/>
                <w:vertAlign w:val="superscript"/>
              </w:rPr>
              <w:t>(13)</w:t>
            </w:r>
          </w:p>
        </w:tc>
        <w:tc>
          <w:tcPr>
            <w:tcW w:w="0" w:type="dxa"/>
            <w:vAlign w:val="bottom"/>
          </w:tcPr>
          <w:p>
            <w:pPr>
              <w:spacing w:after="0"/>
              <w:rPr>
                <w:sz w:val="1"/>
                <w:szCs w:val="1"/>
                <w:color w:val="auto"/>
              </w:rPr>
            </w:pPr>
          </w:p>
        </w:tc>
      </w:tr>
      <w:tr>
        <w:trPr>
          <w:trHeight w:val="32"/>
        </w:trPr>
        <w:tc>
          <w:tcPr>
            <w:tcW w:w="780" w:type="dxa"/>
            <w:vAlign w:val="bottom"/>
          </w:tcPr>
          <w:p>
            <w:pPr>
              <w:spacing w:after="0"/>
              <w:rPr>
                <w:sz w:val="2"/>
                <w:szCs w:val="2"/>
                <w:color w:val="auto"/>
              </w:rPr>
            </w:pPr>
          </w:p>
        </w:tc>
        <w:tc>
          <w:tcPr>
            <w:tcW w:w="2540" w:type="dxa"/>
            <w:vAlign w:val="bottom"/>
            <w:vMerge w:val="continue"/>
          </w:tcPr>
          <w:p>
            <w:pPr>
              <w:spacing w:after="0"/>
              <w:rPr>
                <w:sz w:val="2"/>
                <w:szCs w:val="2"/>
                <w:color w:val="auto"/>
              </w:rPr>
            </w:pPr>
          </w:p>
        </w:tc>
        <w:tc>
          <w:tcPr>
            <w:tcW w:w="264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5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jc w:val="center"/>
              <w:ind w:left="58"/>
              <w:spacing w:after="0"/>
              <w:rPr>
                <w:sz w:val="20"/>
                <w:szCs w:val="20"/>
                <w:color w:val="auto"/>
              </w:rPr>
            </w:pPr>
            <w:r>
              <w:rPr>
                <w:rFonts w:ascii="Times New Roman" w:cs="Times New Roman" w:eastAsia="Times New Roman" w:hAnsi="Times New Roman"/>
                <w:sz w:val="13"/>
                <w:szCs w:val="13"/>
                <w:color w:val="0000FF"/>
              </w:rPr>
              <w:t>Stock</w:t>
            </w:r>
          </w:p>
        </w:tc>
        <w:tc>
          <w:tcPr>
            <w:tcW w:w="1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2540" w:type="dxa"/>
            <w:vAlign w:val="bottom"/>
            <w:vMerge w:val="restart"/>
          </w:tcPr>
          <w:p>
            <w:pPr>
              <w:jc w:val="right"/>
              <w:ind w:right="2127"/>
              <w:spacing w:after="0"/>
              <w:rPr>
                <w:sz w:val="20"/>
                <w:szCs w:val="20"/>
                <w:color w:val="auto"/>
              </w:rPr>
            </w:pPr>
            <w:r>
              <w:rPr>
                <w:rFonts w:ascii="Times New Roman" w:cs="Times New Roman" w:eastAsia="Times New Roman" w:hAnsi="Times New Roman"/>
                <w:sz w:val="11"/>
                <w:szCs w:val="11"/>
                <w:color w:val="008000"/>
              </w:rPr>
              <w:t>(1)</w:t>
            </w:r>
          </w:p>
        </w:tc>
        <w:tc>
          <w:tcPr>
            <w:tcW w:w="2640" w:type="dxa"/>
            <w:vAlign w:val="bottom"/>
            <w:vMerge w:val="restart"/>
          </w:tcPr>
          <w:p>
            <w:pPr>
              <w:jc w:val="right"/>
              <w:ind w:right="267"/>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vMerge w:val="restart"/>
          </w:tcPr>
          <w:p>
            <w:pPr>
              <w:jc w:val="right"/>
              <w:ind w:right="107"/>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0000FF"/>
                <w:w w:val="97"/>
              </w:rPr>
              <w:t>Class A</w:t>
            </w:r>
          </w:p>
        </w:tc>
        <w:tc>
          <w:tcPr>
            <w:tcW w:w="1120" w:type="dxa"/>
            <w:vAlign w:val="bottom"/>
            <w:vMerge w:val="restart"/>
          </w:tcPr>
          <w:p>
            <w:pPr>
              <w:jc w:val="right"/>
              <w:ind w:right="477"/>
              <w:spacing w:after="0"/>
              <w:rPr>
                <w:sz w:val="20"/>
                <w:szCs w:val="20"/>
                <w:color w:val="auto"/>
              </w:rPr>
            </w:pPr>
            <w:r>
              <w:rPr>
                <w:rFonts w:ascii="Times New Roman" w:cs="Times New Roman" w:eastAsia="Times New Roman" w:hAnsi="Times New Roman"/>
                <w:sz w:val="17"/>
                <w:szCs w:val="17"/>
                <w:color w:val="0000FF"/>
              </w:rPr>
              <w:t>42,976</w:t>
            </w: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47"/>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2540" w:type="dxa"/>
            <w:vAlign w:val="bottom"/>
            <w:vMerge w:val="continue"/>
          </w:tcPr>
          <w:p>
            <w:pPr>
              <w:spacing w:after="0"/>
              <w:rPr>
                <w:sz w:val="4"/>
                <w:szCs w:val="4"/>
                <w:color w:val="auto"/>
              </w:rPr>
            </w:pPr>
          </w:p>
        </w:tc>
        <w:tc>
          <w:tcPr>
            <w:tcW w:w="264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740" w:type="dxa"/>
            <w:vAlign w:val="bottom"/>
            <w:vMerge w:val="restart"/>
          </w:tcPr>
          <w:p>
            <w:pPr>
              <w:jc w:val="center"/>
              <w:ind w:left="38"/>
              <w:spacing w:after="0"/>
              <w:rPr>
                <w:sz w:val="20"/>
                <w:szCs w:val="20"/>
                <w:color w:val="auto"/>
              </w:rPr>
            </w:pPr>
            <w:r>
              <w:rPr>
                <w:rFonts w:ascii="Times New Roman" w:cs="Times New Roman" w:eastAsia="Times New Roman" w:hAnsi="Times New Roman"/>
                <w:sz w:val="13"/>
                <w:szCs w:val="13"/>
                <w:color w:val="0000FF"/>
                <w:w w:val="99"/>
              </w:rPr>
              <w:t>Common</w:t>
            </w:r>
          </w:p>
        </w:tc>
        <w:tc>
          <w:tcPr>
            <w:tcW w:w="1120" w:type="dxa"/>
            <w:vAlign w:val="bottom"/>
            <w:vMerge w:val="continue"/>
          </w:tcPr>
          <w:p>
            <w:pPr>
              <w:spacing w:after="0"/>
              <w:rPr>
                <w:sz w:val="4"/>
                <w:szCs w:val="4"/>
                <w:color w:val="auto"/>
              </w:rPr>
            </w:pPr>
          </w:p>
        </w:tc>
        <w:tc>
          <w:tcPr>
            <w:tcW w:w="1220" w:type="dxa"/>
            <w:vAlign w:val="bottom"/>
            <w:vMerge w:val="restart"/>
          </w:tcPr>
          <w:p>
            <w:pPr>
              <w:jc w:val="right"/>
              <w:ind w:right="281"/>
              <w:spacing w:after="0"/>
              <w:rPr>
                <w:sz w:val="20"/>
                <w:szCs w:val="20"/>
                <w:color w:val="auto"/>
              </w:rPr>
            </w:pPr>
            <w:r>
              <w:rPr>
                <w:rFonts w:ascii="Times New Roman" w:cs="Times New Roman" w:eastAsia="Times New Roman" w:hAnsi="Times New Roman"/>
                <w:sz w:val="13"/>
                <w:szCs w:val="13"/>
                <w:color w:val="0000FF"/>
              </w:rPr>
              <w:t>42,976</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80" w:type="dxa"/>
            <w:vAlign w:val="bottom"/>
            <w:vMerge w:val="continue"/>
          </w:tcPr>
          <w:p>
            <w:pPr>
              <w:spacing w:after="0"/>
              <w:rPr>
                <w:sz w:val="7"/>
                <w:szCs w:val="7"/>
                <w:color w:val="auto"/>
              </w:rPr>
            </w:pPr>
          </w:p>
        </w:tc>
        <w:tc>
          <w:tcPr>
            <w:tcW w:w="2540" w:type="dxa"/>
            <w:vAlign w:val="bottom"/>
            <w:vMerge w:val="continue"/>
          </w:tcPr>
          <w:p>
            <w:pPr>
              <w:spacing w:after="0"/>
              <w:rPr>
                <w:sz w:val="7"/>
                <w:szCs w:val="7"/>
                <w:color w:val="auto"/>
              </w:rPr>
            </w:pPr>
          </w:p>
        </w:tc>
        <w:tc>
          <w:tcPr>
            <w:tcW w:w="26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60" w:type="dxa"/>
            <w:vAlign w:val="bottom"/>
            <w:vMerge w:val="restart"/>
          </w:tcPr>
          <w:p>
            <w:pPr>
              <w:ind w:left="200"/>
              <w:spacing w:after="0" w:line="158" w:lineRule="exact"/>
              <w:rPr>
                <w:sz w:val="20"/>
                <w:szCs w:val="20"/>
                <w:color w:val="auto"/>
              </w:rPr>
            </w:pPr>
            <w:r>
              <w:rPr>
                <w:rFonts w:ascii="Times New Roman" w:cs="Times New Roman" w:eastAsia="Times New Roman" w:hAnsi="Times New Roman"/>
                <w:sz w:val="11"/>
                <w:szCs w:val="11"/>
                <w:color w:val="0000FF"/>
              </w:rPr>
              <w:t>Spouse</w:t>
            </w:r>
            <w:r>
              <w:rPr>
                <w:rFonts w:ascii="Times New Roman" w:cs="Times New Roman" w:eastAsia="Times New Roman" w:hAnsi="Times New Roman"/>
                <w:sz w:val="18"/>
                <w:szCs w:val="18"/>
                <w:color w:val="008000"/>
                <w:vertAlign w:val="superscript"/>
              </w:rPr>
              <w:t>(14)</w:t>
            </w:r>
          </w:p>
        </w:tc>
        <w:tc>
          <w:tcPr>
            <w:tcW w:w="0" w:type="dxa"/>
            <w:vAlign w:val="bottom"/>
          </w:tcPr>
          <w:p>
            <w:pPr>
              <w:spacing w:after="0"/>
              <w:rPr>
                <w:sz w:val="1"/>
                <w:szCs w:val="1"/>
                <w:color w:val="auto"/>
              </w:rPr>
            </w:pPr>
          </w:p>
        </w:tc>
      </w:tr>
      <w:tr>
        <w:trPr>
          <w:trHeight w:val="70"/>
        </w:trPr>
        <w:tc>
          <w:tcPr>
            <w:tcW w:w="780" w:type="dxa"/>
            <w:vAlign w:val="bottom"/>
            <w:vMerge w:val="continue"/>
          </w:tcPr>
          <w:p>
            <w:pPr>
              <w:spacing w:after="0"/>
              <w:rPr>
                <w:sz w:val="6"/>
                <w:szCs w:val="6"/>
                <w:color w:val="auto"/>
              </w:rPr>
            </w:pPr>
          </w:p>
        </w:tc>
        <w:tc>
          <w:tcPr>
            <w:tcW w:w="25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5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jc w:val="center"/>
              <w:ind w:left="58"/>
              <w:spacing w:after="0"/>
              <w:rPr>
                <w:sz w:val="20"/>
                <w:szCs w:val="20"/>
                <w:color w:val="auto"/>
              </w:rPr>
            </w:pPr>
            <w:r>
              <w:rPr>
                <w:rFonts w:ascii="Times New Roman" w:cs="Times New Roman" w:eastAsia="Times New Roman" w:hAnsi="Times New Roman"/>
                <w:sz w:val="13"/>
                <w:szCs w:val="13"/>
                <w:color w:val="0000FF"/>
              </w:rPr>
              <w:t>Stock</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right="140" w:firstLine="1"/>
        <w:spacing w:after="0" w:line="236"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p>
      <w:pPr>
        <w:spacing w:after="0" w:line="26"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Agarwal 2018 Family Trust, of which the Reporting Person's spouse is Trustee.</w:t>
      </w:r>
    </w:p>
    <w:p>
      <w:pPr>
        <w:spacing w:after="0" w:line="42"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pursuant to a 10b5-1 plan dated March 13, 2026.</w:t>
      </w:r>
    </w:p>
    <w:p>
      <w:pPr>
        <w:spacing w:after="0" w:line="42"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$214.19 to $215.02.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$215.60 to $216.45.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$216.60 to $217.56.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$217.76 to $218.75.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$218.76 to $219.72.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$219.77 to $220.76.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300" w:firstLine="1"/>
        <w:spacing w:after="0" w:line="252" w:lineRule="auto"/>
        <w:tabs>
          <w:tab w:leader="none" w:pos="21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$220.77 to $221.76.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300" w:firstLine="1"/>
        <w:spacing w:after="0" w:line="252" w:lineRule="auto"/>
        <w:tabs>
          <w:tab w:leader="none" w:pos="20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$221.77 to $222.69.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0" w:right="300" w:firstLine="1"/>
        <w:spacing w:after="0" w:line="252" w:lineRule="auto"/>
        <w:tabs>
          <w:tab w:leader="none" w:pos="212"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$222.82 to $223.48. The Reporting Person will provide upon request to the SEC, the Issuer or security holder of the Issuer, full information regarding the number of shares sold at each separate price.</w:t>
      </w:r>
    </w:p>
    <w:p>
      <w:pPr>
        <w:spacing w:after="0" w:line="19" w:lineRule="exact"/>
        <w:rPr>
          <w:rFonts w:ascii="Times New Roman" w:cs="Times New Roman" w:eastAsia="Times New Roman" w:hAnsi="Times New Roman"/>
          <w:sz w:val="13"/>
          <w:szCs w:val="13"/>
          <w:color w:val="008000"/>
        </w:rPr>
      </w:pPr>
    </w:p>
    <w:p>
      <w:pPr>
        <w:ind w:left="220" w:hanging="19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Agarwal 2019 Family Trust, of which the Reporting Person's spouse is Trustee.</w:t>
      </w:r>
    </w:p>
    <w:p>
      <w:pPr>
        <w:spacing w:after="0" w:line="42" w:lineRule="exact"/>
        <w:rPr>
          <w:rFonts w:ascii="Times New Roman" w:cs="Times New Roman" w:eastAsia="Times New Roman" w:hAnsi="Times New Roman"/>
          <w:sz w:val="13"/>
          <w:szCs w:val="13"/>
          <w:color w:val="008000"/>
        </w:rPr>
      </w:pPr>
    </w:p>
    <w:p>
      <w:pPr>
        <w:ind w:left="220" w:hanging="19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Reporting Person's spouse.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80"/>
        <w:spacing w:after="0" w:line="220" w:lineRule="auto"/>
        <w:rPr>
          <w:sz w:val="20"/>
          <w:szCs w:val="20"/>
          <w:color w:val="auto"/>
        </w:rPr>
      </w:pPr>
      <w:r>
        <w:rPr>
          <w:rFonts w:ascii="Times New Roman" w:cs="Times New Roman" w:eastAsia="Times New Roman" w:hAnsi="Times New Roman"/>
          <w:sz w:val="17"/>
          <w:szCs w:val="17"/>
          <w:color w:val="0000FF"/>
        </w:rPr>
        <w:t xml:space="preserve">/s/ Kerry Acocella, Attorney-in- </w:t>
      </w:r>
      <w:r>
        <w:rPr>
          <w:rFonts w:ascii="Times New Roman" w:cs="Times New Roman" w:eastAsia="Times New Roman" w:hAnsi="Times New Roman"/>
          <w:sz w:val="33"/>
          <w:szCs w:val="33"/>
          <w:color w:val="0000FF"/>
          <w:vertAlign w:val="subscript"/>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-20955</wp:posOffset>
            </wp:positionV>
            <wp:extent cx="1822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2245" cy="8255"/>
                    </a:xfrm>
                    <a:prstGeom prst="rect">
                      <a:avLst/>
                    </a:prstGeom>
                    <a:noFill/>
                  </pic:spPr>
                </pic:pic>
              </a:graphicData>
            </a:graphic>
          </wp:anchor>
        </w:drawing>
        <w:drawing>
          <wp:anchor simplePos="0" relativeHeight="251657728" behindDoc="1" locked="0" layoutInCell="0" allowOverlap="1">
            <wp:simplePos x="0" y="0"/>
            <wp:positionH relativeFrom="column">
              <wp:posOffset>5575300</wp:posOffset>
            </wp:positionH>
            <wp:positionV relativeFrom="paragraph">
              <wp:posOffset>-86360</wp:posOffset>
            </wp:positionV>
            <wp:extent cx="4813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20" w:firstLine="1"/>
        <w:spacing w:after="0" w:line="334"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40517" TargetMode="External"/><Relationship Id="rId14"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2026-06-29T16:05:27Z</dcterms:created>
  <dcterms:modified xsi:type="dcterms:W3CDTF">2026-06-29T16:05:27Z</dcterms:modified>
</cp:coreProperties>
</file>