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868680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2"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3" w:lineRule="exact"/>
        <w:rPr>
          <w:sz w:val="24"/>
          <w:szCs w:val="24"/>
          <w:color w:val="auto"/>
        </w:rPr>
      </w:pPr>
    </w:p>
    <w:p>
      <w:pPr>
        <w:ind w:left="38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3933825</wp:posOffset>
            </wp:positionH>
            <wp:positionV relativeFrom="paragraph">
              <wp:posOffset>-5080</wp:posOffset>
            </wp:positionV>
            <wp:extent cx="7804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001-39051</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Datadog,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ectPr>
          <w:pgSz w:w="11900" w:h="16838" w:orient="portrait"/>
          <w:cols w:equalWidth="0" w:num="1">
            <w:col w:w="11260"/>
          </w:cols>
          <w:pgMar w:left="320" w:top="1440" w:right="319" w:bottom="1440" w:gutter="0" w:footer="0" w:header="0"/>
        </w:sectPr>
      </w:pPr>
    </w:p>
    <w:p>
      <w:pPr>
        <w:spacing w:after="0" w:line="14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27-2825503</w:t>
      </w:r>
    </w:p>
    <w:p>
      <w:pPr>
        <w:spacing w:after="0" w:line="61" w:lineRule="exact"/>
        <w:rPr>
          <w:sz w:val="24"/>
          <w:szCs w:val="24"/>
          <w:color w:val="auto"/>
        </w:rPr>
      </w:pPr>
    </w:p>
    <w:p>
      <w:pPr>
        <w:sectPr>
          <w:pgSz w:w="11900" w:h="16838" w:orient="portrait"/>
          <w:cols w:equalWidth="0" w:num="2">
            <w:col w:w="7880" w:space="720"/>
            <w:col w:w="2660"/>
          </w:cols>
          <w:pgMar w:left="320" w:top="1440" w:right="319"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9"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66" w:lineRule="exact"/>
        <w:rPr>
          <w:sz w:val="24"/>
          <w:szCs w:val="24"/>
          <w:color w:val="auto"/>
        </w:rPr>
      </w:pPr>
    </w:p>
    <w:p>
      <w:pPr>
        <w:sectPr>
          <w:pgSz w:w="11900" w:h="16838" w:orient="portrait"/>
          <w:cols w:equalWidth="0" w:num="2">
            <w:col w:w="7760" w:space="720"/>
            <w:col w:w="2780"/>
          </w:cols>
          <w:pgMar w:left="320" w:top="1440" w:right="319" w:bottom="1440" w:gutter="0" w:footer="0" w:header="0"/>
          <w:type w:val="continuous"/>
        </w:sectPr>
      </w:pPr>
    </w:p>
    <w:p>
      <w:pPr>
        <w:ind w:left="4580"/>
        <w:spacing w:after="0"/>
        <w:rPr>
          <w:sz w:val="20"/>
          <w:szCs w:val="20"/>
          <w:color w:val="auto"/>
        </w:rPr>
      </w:pPr>
      <w:r>
        <w:rPr>
          <w:rFonts w:ascii="Times New Roman" w:cs="Times New Roman" w:eastAsia="Times New Roman" w:hAnsi="Times New Roman"/>
          <w:sz w:val="18"/>
          <w:szCs w:val="18"/>
          <w:b w:val="1"/>
          <w:bCs w:val="1"/>
          <w:color w:val="auto"/>
        </w:rPr>
        <w:t>620 8th Avenue, 45th Floor</w:t>
      </w:r>
    </w:p>
    <w:p>
      <w:pPr>
        <w:spacing w:after="0" w:line="6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New York, New York 10018</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1260"/>
          </w:cols>
          <w:pgMar w:left="320" w:top="1440" w:right="319" w:bottom="1440" w:gutter="0" w:footer="0" w:header="0"/>
          <w:type w:val="continuous"/>
        </w:sectPr>
      </w:pPr>
    </w:p>
    <w:p>
      <w:pPr>
        <w:spacing w:after="0" w:line="2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(866) 329-4466</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3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DDOG</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1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35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Small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70"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October 28, 2026, there were 337,307,033 shares of the registrant’s Class A common stock and 23,735,512 shares of the registrant’s Class B common stock, each with a par value of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0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00" w:type="dxa"/>
            <w:vAlign w:val="bottom"/>
            <w:gridSpan w:val="2"/>
            <w:vMerge w:val="continue"/>
          </w:tcPr>
          <w:p>
            <w:pPr>
              <w:spacing w:after="0"/>
              <w:rPr>
                <w:sz w:val="15"/>
                <w:szCs w:val="15"/>
                <w:color w:val="auto"/>
              </w:rPr>
            </w:pPr>
          </w:p>
        </w:tc>
        <w:tc>
          <w:tcPr>
            <w:tcW w:w="9100" w:type="dxa"/>
            <w:vAlign w:val="bottom"/>
            <w:gridSpan w:val="22"/>
            <w:vMerge w:val="continue"/>
          </w:tcPr>
          <w:p>
            <w:pPr>
              <w:spacing w:after="0"/>
              <w:rPr>
                <w:sz w:val="15"/>
                <w:szCs w:val="15"/>
                <w:color w:val="auto"/>
              </w:rPr>
            </w:pPr>
          </w:p>
        </w:tc>
        <w:tc>
          <w:tcPr>
            <w:tcW w:w="8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40" w:type="dxa"/>
            <w:vAlign w:val="bottom"/>
            <w:tcBorders>
              <w:top w:val="single" w:sz="8" w:color="0000FF"/>
            </w:tcBorders>
            <w:gridSpan w:val="4"/>
          </w:tcPr>
          <w:p>
            <w:pPr>
              <w:spacing w:after="0"/>
              <w:rPr>
                <w:sz w:val="22"/>
                <w:szCs w:val="22"/>
                <w:color w:val="auto"/>
              </w:rPr>
            </w:pPr>
          </w:p>
        </w:tc>
        <w:tc>
          <w:tcPr>
            <w:tcW w:w="6860" w:type="dxa"/>
            <w:vAlign w:val="bottom"/>
            <w:gridSpan w:val="11"/>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2026 and December 31, 2025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September 30, 2026 and 2025</w:t>
            </w:r>
          </w:p>
        </w:tc>
        <w:tc>
          <w:tcPr>
            <w:tcW w:w="460" w:type="dxa"/>
            <w:vAlign w:val="bottom"/>
            <w:gridSpan w:val="4"/>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1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September 30, 2026</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8"/>
              </w:rPr>
              <w:t>and 2025 (unaudited)</w:t>
            </w:r>
          </w:p>
        </w:tc>
        <w:tc>
          <w:tcPr>
            <w:tcW w:w="7300" w:type="dxa"/>
            <w:vAlign w:val="bottom"/>
            <w:tcBorders>
              <w:top w:val="single" w:sz="8" w:color="0000FF"/>
            </w:tcBorders>
            <w:gridSpan w:val="12"/>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30, 2026 and</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96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2025 (unaudited)</w:t>
            </w:r>
          </w:p>
        </w:tc>
        <w:tc>
          <w:tcPr>
            <w:tcW w:w="1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2026 and 2025 (unaudited)</w:t>
            </w:r>
          </w:p>
        </w:tc>
        <w:tc>
          <w:tcPr>
            <w:tcW w:w="300" w:type="dxa"/>
            <w:vAlign w:val="bottom"/>
            <w:gridSpan w:val="3"/>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40" w:type="dxa"/>
            <w:vAlign w:val="bottom"/>
            <w:gridSpan w:val="6"/>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40" w:type="dxa"/>
            <w:vAlign w:val="bottom"/>
            <w:gridSpan w:val="8"/>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gridSpan w:val="2"/>
            <w:vMerge w:val="continue"/>
          </w:tcPr>
          <w:p>
            <w:pPr>
              <w:spacing w:after="0"/>
              <w:rPr>
                <w:sz w:val="24"/>
                <w:szCs w:val="24"/>
                <w:color w:val="auto"/>
              </w:rPr>
            </w:pPr>
          </w:p>
        </w:tc>
        <w:tc>
          <w:tcPr>
            <w:tcW w:w="18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220" w:type="dxa"/>
            <w:vAlign w:val="bottom"/>
            <w:gridSpan w:val="1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3"/>
          </w:tcPr>
          <w:p>
            <w:pPr>
              <w:spacing w:after="0"/>
              <w:rPr>
                <w:sz w:val="21"/>
                <w:szCs w:val="21"/>
                <w:color w:val="auto"/>
              </w:rPr>
            </w:pPr>
          </w:p>
        </w:tc>
        <w:tc>
          <w:tcPr>
            <w:tcW w:w="7780" w:type="dxa"/>
            <w:vAlign w:val="bottom"/>
            <w:gridSpan w:val="16"/>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500" w:type="dxa"/>
            <w:vAlign w:val="bottom"/>
            <w:tcBorders>
              <w:top w:val="single" w:sz="8" w:color="0000FF"/>
            </w:tcBorders>
          </w:tcPr>
          <w:p>
            <w:pPr>
              <w:spacing w:after="0"/>
              <w:rPr>
                <w:sz w:val="21"/>
                <w:szCs w:val="21"/>
                <w:color w:val="auto"/>
              </w:rPr>
            </w:pPr>
          </w:p>
        </w:tc>
        <w:tc>
          <w:tcPr>
            <w:tcW w:w="6280" w:type="dxa"/>
            <w:vAlign w:val="bottom"/>
            <w:gridSpan w:val="9"/>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40" w:type="dxa"/>
            <w:vAlign w:val="bottom"/>
            <w:gridSpan w:val="13"/>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0" w:type="dxa"/>
            <w:vAlign w:val="bottom"/>
            <w:gridSpan w:val="17"/>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08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79" w:lineRule="exact"/>
        <w:rPr>
          <w:sz w:val="20"/>
          <w:szCs w:val="20"/>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successfully retain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platform and upsell and cross sell additional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our profitability;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 and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general market, political, economic, and business conditions in our industry, or reductions in information technology spending, on our business, results of operations and financial condition.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Unless the context otherwise indicates, references in this report to the terms “Datadog”, “the Company,” “we,” “our” and “us” refer to Datadog, Inc. and its subsidiaries. “Datadog” and other trade names and trademarks of ours appearing in this report are our property. This report contains trade names and trademarks of other companies, which are the property of their respective owners. We do not intend our use or display of other companies’ trade names or trademarks to imply an endorsement or sponsorship of us by such companies, or any relationship with any of these companies.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(www.investors.datadoghq.com). We therefore encourage investors and others interested in Datadog to review the information that we make available on our website, in addition to following our filings with the Securities and Exchange Commission, or the SEC, webcasts, press releases and conference calls.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401,305</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4,352,357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4,073,531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$29,260 and $19,292 as of September 30, 2026 and</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4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741,262</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contract costs, 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90,160</w:t>
            </w:r>
          </w:p>
        </w:tc>
        <w:tc>
          <w:tcPr>
            <w:tcW w:w="0" w:type="dxa"/>
            <w:vAlign w:val="bottom"/>
          </w:tcPr>
          <w:p>
            <w:pPr>
              <w:spacing w:after="0"/>
              <w:rPr>
                <w:sz w:val="1"/>
                <w:szCs w:val="1"/>
                <w:color w:val="auto"/>
              </w:rPr>
            </w:pPr>
          </w:p>
        </w:tc>
      </w:tr>
      <w:tr>
        <w:trPr>
          <w:trHeight w:val="237"/>
        </w:trPr>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6,231,294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5,382,280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338,093</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214,674</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530,568</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14,968</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contract costs,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126,708</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36,553</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7,839,028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6,643,844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148,791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209,595</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39,369</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1,193,646</w:t>
            </w:r>
          </w:p>
        </w:tc>
        <w:tc>
          <w:tcPr>
            <w:tcW w:w="0" w:type="dxa"/>
            <w:vAlign w:val="bottom"/>
          </w:tcPr>
          <w:p>
            <w:pPr>
              <w:spacing w:after="0"/>
              <w:rPr>
                <w:sz w:val="1"/>
                <w:szCs w:val="1"/>
                <w:color w:val="auto"/>
              </w:rPr>
            </w:pP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1,776,337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1,591,401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256,187</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senior notes, net, non-current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986,595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983,449</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68,711</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3,123,216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2,911,638</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common stock, $0.00001 par value per share; 2,000,000,000 shares authorized as of September 30, 2026</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December 31, 2025; 337,209,238 and 328,117,781 shares issued and outstanding as of September 30, 2026</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December 31, 2025, respectively</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stock, $0.00001 par value per share; 310,000,000 shares authorized as of September 30, 2026</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December 31, 2025; 23,813,898 and 24,408,190 shares issued and outstanding as of September 30, 2026 and</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4,383,737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3,579,010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15,404</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137,789</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4,715,812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3,732,206</w:t>
            </w:r>
          </w:p>
        </w:tc>
        <w:tc>
          <w:tcPr>
            <w:tcW w:w="0" w:type="dxa"/>
            <w:vAlign w:val="bottom"/>
          </w:tcPr>
          <w:p>
            <w:pPr>
              <w:spacing w:after="0"/>
              <w:rPr>
                <w:sz w:val="1"/>
                <w:szCs w:val="1"/>
                <w:color w:val="auto"/>
              </w:rPr>
            </w:pPr>
          </w:p>
        </w:tc>
      </w:tr>
      <w:tr>
        <w:trPr>
          <w:trHeight w:val="26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7,839,028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6,643,844</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089" w:right="339" w:bottom="956"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956" w:gutter="0" w:footer="0" w:header="0"/>
          <w:type w:val="continuous"/>
        </w:sectPr>
      </w:pPr>
    </w:p>
    <w:bookmarkStart w:id="4" w:name="page5"/>
    <w:bookmarkEnd w:id="4"/>
    <w:p>
      <w:pPr>
        <w:ind w:left="494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18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44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3,324,970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2,473,964</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500,063</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2,638,462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1,973,901</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1,404,836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1,130,525</w:t>
            </w:r>
          </w:p>
        </w:tc>
        <w:tc>
          <w:tcPr>
            <w:tcW w:w="0" w:type="dxa"/>
            <w:vAlign w:val="bottom"/>
          </w:tcPr>
          <w:p>
            <w:pPr>
              <w:spacing w:after="0"/>
              <w:rPr>
                <w:sz w:val="1"/>
                <w:szCs w:val="1"/>
                <w:color w:val="auto"/>
              </w:rPr>
            </w:pPr>
          </w:p>
        </w:tc>
      </w:tr>
      <w:tr>
        <w:trPr>
          <w:trHeight w:val="243"/>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692,046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251,498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205,059</w:t>
            </w:r>
          </w:p>
        </w:tc>
        <w:tc>
          <w:tcPr>
            <w:tcW w:w="0" w:type="dxa"/>
            <w:vAlign w:val="bottom"/>
          </w:tcPr>
          <w:p>
            <w:pPr>
              <w:spacing w:after="0"/>
              <w:rPr>
                <w:sz w:val="1"/>
                <w:szCs w:val="1"/>
                <w:color w:val="auto"/>
              </w:rPr>
            </w:pPr>
          </w:p>
        </w:tc>
      </w:tr>
      <w:tr>
        <w:trPr>
          <w:trHeight w:val="237"/>
        </w:trPr>
        <w:tc>
          <w:tcPr>
            <w:tcW w:w="5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885,217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715,003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2,550,974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2,027,630</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(53,729)</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0" w:type="dxa"/>
            <w:vAlign w:val="bottom"/>
          </w:tcPr>
          <w:p>
            <w:pPr>
              <w:spacing w:after="0"/>
              <w:rPr>
                <w:sz w:val="1"/>
                <w:szCs w:val="1"/>
                <w:color w:val="auto"/>
              </w:rPr>
            </w:pPr>
          </w:p>
        </w:tc>
      </w:tr>
      <w:tr>
        <w:trPr>
          <w:trHeight w:val="243"/>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135,739</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147,754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127,280</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124,579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235,242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73,551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0" w:type="dxa"/>
            <w:vAlign w:val="bottom"/>
          </w:tcPr>
          <w:p>
            <w:pPr>
              <w:spacing w:after="0"/>
              <w:rPr>
                <w:sz w:val="1"/>
                <w:szCs w:val="1"/>
                <w:color w:val="auto"/>
              </w:rPr>
            </w:pPr>
          </w:p>
        </w:tc>
      </w:tr>
      <w:tr>
        <w:trPr>
          <w:trHeight w:val="26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118,316</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61,174</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118,316</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61,174</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calculating basic net income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358,617</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348,645</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356,067</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346,012</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calculating diluted net income per share:</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361,905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9"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50"/>
        </w:trPr>
        <w:tc>
          <w:tcPr>
            <w:tcW w:w="56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186"/>
        </w:trPr>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6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6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118,316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61,174</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0"/>
        </w:trPr>
        <w:tc>
          <w:tcPr>
            <w:tcW w:w="5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11,388</w:t>
            </w:r>
          </w:p>
        </w:tc>
      </w:tr>
      <w:tr>
        <w:trPr>
          <w:trHeight w:val="27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(loss) gain on available-for-sale marketable securities</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w:t>
            </w:r>
          </w:p>
        </w:tc>
      </w:tr>
      <w:tr>
        <w:trPr>
          <w:trHeight w:val="270"/>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5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(14,401)</w:t>
            </w:r>
          </w:p>
        </w:tc>
        <w:tc>
          <w:tcPr>
            <w:tcW w:w="10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(36,569)</w:t>
            </w:r>
          </w:p>
        </w:tc>
        <w:tc>
          <w:tcPr>
            <w:tcW w:w="1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16,891</w:t>
            </w:r>
          </w:p>
        </w:tc>
      </w:tr>
      <w:tr>
        <w:trPr>
          <w:trHeight w:val="28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103,915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178,879</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78,065</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20"/>
          </w:cols>
          <w:pgMar w:left="34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BALANCE—June 30, 2026</w:t>
      </w:r>
    </w:p>
    <w:p>
      <w:pPr>
        <w:spacing w:after="0" w:line="46" w:lineRule="exact"/>
        <w:rPr>
          <w:sz w:val="20"/>
          <w:szCs w:val="20"/>
          <w:color w:val="auto"/>
        </w:rPr>
      </w:pPr>
    </w:p>
    <w:p>
      <w:pPr>
        <w:ind w:left="160" w:hanging="161"/>
        <w:spacing w:after="0" w:line="290" w:lineRule="auto"/>
        <w:rPr>
          <w:sz w:val="20"/>
          <w:szCs w:val="20"/>
          <w:color w:val="auto"/>
        </w:rPr>
      </w:pPr>
      <w:r>
        <w:rPr>
          <w:rFonts w:ascii="Times New Roman" w:cs="Times New Roman" w:eastAsia="Times New Roman" w:hAnsi="Times New Roman"/>
          <w:sz w:val="16"/>
          <w:szCs w:val="16"/>
          <w:color w:val="auto"/>
        </w:rPr>
        <w:t>Issuance of common stock upon exercise of stock options</w:t>
      </w:r>
    </w:p>
    <w:p>
      <w:pPr>
        <w:spacing w:after="0" w:line="1" w:lineRule="exact"/>
        <w:rPr>
          <w:sz w:val="20"/>
          <w:szCs w:val="20"/>
          <w:color w:val="auto"/>
        </w:rPr>
      </w:pPr>
    </w:p>
    <w:p>
      <w:pPr>
        <w:ind w:left="160" w:right="220" w:hanging="161"/>
        <w:spacing w:after="0" w:line="290" w:lineRule="auto"/>
        <w:rPr>
          <w:sz w:val="20"/>
          <w:szCs w:val="20"/>
          <w:color w:val="auto"/>
        </w:rPr>
      </w:pPr>
      <w:r>
        <w:rPr>
          <w:rFonts w:ascii="Times New Roman" w:cs="Times New Roman" w:eastAsia="Times New Roman" w:hAnsi="Times New Roman"/>
          <w:sz w:val="16"/>
          <w:szCs w:val="16"/>
          <w:color w:val="auto"/>
        </w:rPr>
        <w:t>Vesting of restricted and performance stock units</w:t>
      </w:r>
    </w:p>
    <w:p>
      <w:pPr>
        <w:spacing w:after="0" w:line="1" w:lineRule="exact"/>
        <w:rPr>
          <w:sz w:val="20"/>
          <w:szCs w:val="20"/>
          <w:color w:val="auto"/>
        </w:rPr>
      </w:pPr>
    </w:p>
    <w:p>
      <w:pPr>
        <w:ind w:left="160" w:right="40" w:hanging="161"/>
        <w:spacing w:after="0" w:line="281" w:lineRule="auto"/>
        <w:rPr>
          <w:sz w:val="20"/>
          <w:szCs w:val="20"/>
          <w:color w:val="auto"/>
        </w:rPr>
      </w:pPr>
      <w:r>
        <w:rPr>
          <w:rFonts w:ascii="Times New Roman" w:cs="Times New Roman" w:eastAsia="Times New Roman" w:hAnsi="Times New Roman"/>
          <w:sz w:val="16"/>
          <w:szCs w:val="16"/>
          <w:color w:val="auto"/>
        </w:rPr>
        <w:t>Issuance of restricted shares of common stock from acquisitions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46" w:lineRule="exact"/>
        <w:rPr>
          <w:sz w:val="20"/>
          <w:szCs w:val="20"/>
          <w:color w:val="auto"/>
        </w:rPr>
      </w:pPr>
    </w:p>
    <w:p>
      <w:pPr>
        <w:ind w:left="160" w:right="760" w:hanging="161"/>
        <w:spacing w:after="0" w:line="290" w:lineRule="auto"/>
        <w:rPr>
          <w:sz w:val="20"/>
          <w:szCs w:val="20"/>
          <w:color w:val="auto"/>
        </w:rPr>
      </w:pPr>
      <w:r>
        <w:rPr>
          <w:rFonts w:ascii="Times New Roman" w:cs="Times New Roman" w:eastAsia="Times New Roman" w:hAnsi="Times New Roman"/>
          <w:sz w:val="16"/>
          <w:szCs w:val="16"/>
          <w:color w:val="auto"/>
        </w:rPr>
        <w:t>Change in accumulated other comprehensive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BALANCE—June 30, 2025</w:t>
      </w:r>
    </w:p>
    <w:p>
      <w:pPr>
        <w:spacing w:after="0" w:line="46" w:lineRule="exact"/>
        <w:rPr>
          <w:sz w:val="20"/>
          <w:szCs w:val="20"/>
          <w:color w:val="auto"/>
        </w:rPr>
      </w:pPr>
    </w:p>
    <w:p>
      <w:pPr>
        <w:ind w:left="160" w:hanging="161"/>
        <w:spacing w:after="0" w:line="280" w:lineRule="auto"/>
        <w:rPr>
          <w:sz w:val="20"/>
          <w:szCs w:val="20"/>
          <w:color w:val="auto"/>
        </w:rPr>
      </w:pPr>
      <w:r>
        <w:rPr>
          <w:rFonts w:ascii="Times New Roman" w:cs="Times New Roman" w:eastAsia="Times New Roman" w:hAnsi="Times New Roman"/>
          <w:sz w:val="16"/>
          <w:szCs w:val="16"/>
          <w:color w:val="auto"/>
        </w:rPr>
        <w:t>Issuance of common stock upon exercise of stock options</w:t>
      </w:r>
    </w:p>
    <w:p>
      <w:pPr>
        <w:spacing w:after="0" w:line="16" w:lineRule="exact"/>
        <w:rPr>
          <w:sz w:val="20"/>
          <w:szCs w:val="20"/>
          <w:color w:val="auto"/>
        </w:rPr>
      </w:pPr>
    </w:p>
    <w:p>
      <w:pPr>
        <w:ind w:left="160" w:right="220" w:hanging="161"/>
        <w:spacing w:after="0" w:line="280" w:lineRule="auto"/>
        <w:rPr>
          <w:sz w:val="20"/>
          <w:szCs w:val="20"/>
          <w:color w:val="auto"/>
        </w:rPr>
      </w:pPr>
      <w:r>
        <w:rPr>
          <w:rFonts w:ascii="Times New Roman" w:cs="Times New Roman" w:eastAsia="Times New Roman" w:hAnsi="Times New Roman"/>
          <w:sz w:val="16"/>
          <w:szCs w:val="16"/>
          <w:color w:val="auto"/>
        </w:rPr>
        <w:t>Vesting of restricted and performance stock units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46" w:lineRule="exact"/>
        <w:rPr>
          <w:sz w:val="20"/>
          <w:szCs w:val="20"/>
          <w:color w:val="auto"/>
        </w:rPr>
      </w:pPr>
    </w:p>
    <w:p>
      <w:pPr>
        <w:ind w:left="160" w:right="760" w:hanging="161"/>
        <w:spacing w:after="0" w:line="280" w:lineRule="auto"/>
        <w:rPr>
          <w:sz w:val="20"/>
          <w:szCs w:val="20"/>
          <w:color w:val="auto"/>
        </w:rPr>
      </w:pPr>
      <w:r>
        <w:rPr>
          <w:rFonts w:ascii="Times New Roman" w:cs="Times New Roman" w:eastAsia="Times New Roman" w:hAnsi="Times New Roman"/>
          <w:sz w:val="16"/>
          <w:szCs w:val="16"/>
          <w:color w:val="auto"/>
        </w:rPr>
        <w:t>Change in accumulated other comprehensive income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income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BALANCE—September 30, 2025</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380" w:type="dxa"/>
            <w:vAlign w:val="bottom"/>
            <w:gridSpan w:val="3"/>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380" w:type="dxa"/>
            <w:vAlign w:val="bottom"/>
            <w:gridSpan w:val="3"/>
            <w:vMerge w:val="restart"/>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vMerge w:val="restart"/>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w w:val="95"/>
              </w:rPr>
              <w:t>Total Stockholders'</w:t>
            </w:r>
          </w:p>
        </w:tc>
        <w:tc>
          <w:tcPr>
            <w:tcW w:w="0" w:type="dxa"/>
            <w:vAlign w:val="bottom"/>
          </w:tcPr>
          <w:p>
            <w:pPr>
              <w:spacing w:after="0"/>
              <w:rPr>
                <w:sz w:val="1"/>
                <w:szCs w:val="1"/>
                <w:color w:val="auto"/>
              </w:rPr>
            </w:pPr>
          </w:p>
        </w:tc>
      </w:tr>
      <w:tr>
        <w:trPr>
          <w:trHeight w:val="95"/>
        </w:trPr>
        <w:tc>
          <w:tcPr>
            <w:tcW w:w="2380" w:type="dxa"/>
            <w:vAlign w:val="bottom"/>
            <w:tcBorders>
              <w:bottom w:val="single" w:sz="8" w:color="auto"/>
            </w:tcBorders>
            <w:gridSpan w:val="3"/>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gridSpan w:val="2"/>
          </w:tcPr>
          <w:p>
            <w:pPr>
              <w:jc w:val="center"/>
              <w:ind w:right="360"/>
              <w:spacing w:after="0" w:line="95"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00" w:type="dxa"/>
            <w:vAlign w:val="bottom"/>
          </w:tcPr>
          <w:p>
            <w:pPr>
              <w:spacing w:after="0"/>
              <w:rPr>
                <w:sz w:val="16"/>
                <w:szCs w:val="16"/>
                <w:color w:val="auto"/>
              </w:rPr>
            </w:pPr>
          </w:p>
        </w:tc>
        <w:tc>
          <w:tcPr>
            <w:tcW w:w="1200" w:type="dxa"/>
            <w:vAlign w:val="bottom"/>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35"/>
        </w:trPr>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358,956,785</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4,139,000</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234,921</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4,367,160</w:t>
            </w:r>
          </w:p>
        </w:tc>
        <w:tc>
          <w:tcPr>
            <w:tcW w:w="0" w:type="dxa"/>
            <w:vAlign w:val="bottom"/>
          </w:tcPr>
          <w:p>
            <w:pPr>
              <w:spacing w:after="0"/>
              <w:rPr>
                <w:sz w:val="1"/>
                <w:szCs w:val="1"/>
                <w:color w:val="auto"/>
              </w:rPr>
            </w:pPr>
          </w:p>
        </w:tc>
      </w:tr>
      <w:tr>
        <w:trPr>
          <w:trHeight w:val="446"/>
        </w:trPr>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303,465</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0" w:type="dxa"/>
            <w:vAlign w:val="bottom"/>
          </w:tcPr>
          <w:p>
            <w:pPr>
              <w:spacing w:after="0"/>
              <w:rPr>
                <w:sz w:val="1"/>
                <w:szCs w:val="1"/>
                <w:color w:val="auto"/>
              </w:rPr>
            </w:pPr>
          </w:p>
        </w:tc>
      </w:tr>
      <w:tr>
        <w:trPr>
          <w:trHeight w:val="432"/>
        </w:trPr>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1,739,123</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9"/>
        </w:trPr>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23,763</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242,336</w:t>
            </w:r>
          </w:p>
        </w:tc>
        <w:tc>
          <w:tcPr>
            <w:tcW w:w="0" w:type="dxa"/>
            <w:vAlign w:val="bottom"/>
          </w:tcPr>
          <w:p>
            <w:pPr>
              <w:spacing w:after="0"/>
              <w:rPr>
                <w:sz w:val="1"/>
                <w:szCs w:val="1"/>
                <w:color w:val="auto"/>
              </w:rPr>
            </w:pPr>
          </w:p>
        </w:tc>
      </w:tr>
      <w:tr>
        <w:trPr>
          <w:trHeight w:val="446"/>
        </w:trPr>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(14,401)</w:t>
            </w:r>
          </w:p>
        </w:tc>
        <w:tc>
          <w:tcPr>
            <w:tcW w:w="0" w:type="dxa"/>
            <w:vAlign w:val="bottom"/>
          </w:tcPr>
          <w:p>
            <w:pPr>
              <w:spacing w:after="0"/>
              <w:rPr>
                <w:sz w:val="1"/>
                <w:szCs w:val="1"/>
                <w:color w:val="auto"/>
              </w:rPr>
            </w:pPr>
          </w:p>
        </w:tc>
      </w:tr>
      <w:tr>
        <w:trPr>
          <w:trHeight w:val="242"/>
        </w:trPr>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1"/>
                <w:szCs w:val="21"/>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118,316</w:t>
            </w:r>
          </w:p>
        </w:tc>
        <w:tc>
          <w:tcPr>
            <w:tcW w:w="0" w:type="dxa"/>
            <w:vAlign w:val="bottom"/>
          </w:tcPr>
          <w:p>
            <w:pPr>
              <w:spacing w:after="0"/>
              <w:rPr>
                <w:sz w:val="1"/>
                <w:szCs w:val="1"/>
                <w:color w:val="auto"/>
              </w:rPr>
            </w:pPr>
          </w:p>
        </w:tc>
      </w:tr>
      <w:tr>
        <w:trPr>
          <w:trHeight w:val="237"/>
        </w:trPr>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361,023,136</w:t>
            </w:r>
          </w:p>
        </w:tc>
        <w:tc>
          <w:tcPr>
            <w:tcW w:w="1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4,383,737</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(21,165)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353,237</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4,715,812</w:t>
            </w:r>
          </w:p>
        </w:tc>
        <w:tc>
          <w:tcPr>
            <w:tcW w:w="0" w:type="dxa"/>
            <w:vAlign w:val="bottom"/>
          </w:tcPr>
          <w:p>
            <w:pPr>
              <w:spacing w:after="0"/>
              <w:rPr>
                <w:sz w:val="1"/>
                <w:szCs w:val="1"/>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-1782445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-1336675</wp:posOffset>
            </wp:positionV>
            <wp:extent cx="7132320" cy="282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-770890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-351155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gridSpan w:val="3"/>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380" w:type="dxa"/>
            <w:vAlign w:val="bottom"/>
            <w:gridSpan w:val="3"/>
          </w:tcPr>
          <w:p>
            <w:pPr>
              <w:jc w:val="right"/>
              <w:ind w:right="545"/>
              <w:spacing w:after="0" w:line="122"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gridSpan w:val="2"/>
          </w:tcPr>
          <w:p>
            <w:pPr>
              <w:jc w:val="center"/>
              <w:ind w:right="360"/>
              <w:spacing w:after="0" w:line="61" w:lineRule="exact"/>
              <w:rPr>
                <w:sz w:val="20"/>
                <w:szCs w:val="20"/>
                <w:color w:val="auto"/>
              </w:rPr>
            </w:pPr>
            <w:r>
              <w:rPr>
                <w:rFonts w:ascii="Times New Roman" w:cs="Times New Roman" w:eastAsia="Times New Roman" w:hAnsi="Times New Roman"/>
                <w:sz w:val="7"/>
                <w:szCs w:val="7"/>
                <w:b w:val="1"/>
                <w:bCs w:val="1"/>
                <w:color w:val="auto"/>
              </w:rPr>
              <w:t>Paid-in</w:t>
            </w:r>
          </w:p>
        </w:tc>
        <w:tc>
          <w:tcPr>
            <w:tcW w:w="100" w:type="dxa"/>
            <w:vAlign w:val="bottom"/>
          </w:tcPr>
          <w:p>
            <w:pPr>
              <w:spacing w:after="0"/>
              <w:rPr>
                <w:sz w:val="5"/>
                <w:szCs w:val="5"/>
                <w:color w:val="auto"/>
              </w:rPr>
            </w:pPr>
          </w:p>
        </w:tc>
        <w:tc>
          <w:tcPr>
            <w:tcW w:w="1320" w:type="dxa"/>
            <w:vAlign w:val="bottom"/>
            <w:gridSpan w:val="2"/>
          </w:tcPr>
          <w:p>
            <w:pPr>
              <w:ind w:left="20"/>
              <w:spacing w:after="0" w:line="61" w:lineRule="exact"/>
              <w:rPr>
                <w:sz w:val="20"/>
                <w:szCs w:val="20"/>
                <w:color w:val="auto"/>
              </w:rPr>
            </w:pPr>
            <w:r>
              <w:rPr>
                <w:rFonts w:ascii="Times New Roman" w:cs="Times New Roman" w:eastAsia="Times New Roman" w:hAnsi="Times New Roman"/>
                <w:sz w:val="7"/>
                <w:szCs w:val="7"/>
                <w:b w:val="1"/>
                <w:bCs w:val="1"/>
                <w:color w:val="auto"/>
              </w:rPr>
              <w:t>Accumulated Other</w:t>
            </w:r>
          </w:p>
        </w:tc>
        <w:tc>
          <w:tcPr>
            <w:tcW w:w="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jc w:val="right"/>
              <w:ind w:right="66"/>
              <w:spacing w:after="0" w:line="61" w:lineRule="exact"/>
              <w:rPr>
                <w:sz w:val="20"/>
                <w:szCs w:val="20"/>
                <w:color w:val="auto"/>
              </w:rPr>
            </w:pPr>
            <w:r>
              <w:rPr>
                <w:rFonts w:ascii="Times New Roman" w:cs="Times New Roman" w:eastAsia="Times New Roman" w:hAnsi="Times New Roman"/>
                <w:sz w:val="7"/>
                <w:szCs w:val="7"/>
                <w:b w:val="1"/>
                <w:bCs w:val="1"/>
                <w:color w:val="auto"/>
              </w:rPr>
              <w:t>Total Stockholders'</w:t>
            </w:r>
          </w:p>
        </w:tc>
        <w:tc>
          <w:tcPr>
            <w:tcW w:w="0" w:type="dxa"/>
            <w:vAlign w:val="bottom"/>
          </w:tcPr>
          <w:p>
            <w:pPr>
              <w:spacing w:after="0"/>
              <w:rPr>
                <w:sz w:val="1"/>
                <w:szCs w:val="1"/>
                <w:color w:val="auto"/>
              </w:rPr>
            </w:pPr>
          </w:p>
        </w:tc>
      </w:tr>
      <w:tr>
        <w:trPr>
          <w:trHeight w:val="176"/>
        </w:trPr>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12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00" w:type="dxa"/>
            <w:vAlign w:val="bottom"/>
          </w:tcPr>
          <w:p>
            <w:pPr>
              <w:spacing w:after="0"/>
              <w:rPr>
                <w:sz w:val="15"/>
                <w:szCs w:val="15"/>
                <w:color w:val="auto"/>
              </w:rPr>
            </w:pPr>
          </w:p>
        </w:tc>
        <w:tc>
          <w:tcPr>
            <w:tcW w:w="1200" w:type="dxa"/>
            <w:vAlign w:val="bottom"/>
          </w:tcPr>
          <w:p>
            <w:pPr>
              <w:jc w:val="right"/>
              <w:ind w:right="406"/>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37"/>
        </w:trPr>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348,608,581</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3,130,130</w:t>
            </w:r>
          </w:p>
        </w:tc>
        <w:tc>
          <w:tcPr>
            <w:tcW w:w="120" w:type="dxa"/>
            <w:vAlign w:val="bottom"/>
          </w:tcPr>
          <w:p>
            <w:pPr>
              <w:spacing w:after="0"/>
              <w:rPr>
                <w:sz w:val="20"/>
                <w:szCs w:val="20"/>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57,337</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3,195,757</w:t>
            </w:r>
          </w:p>
        </w:tc>
        <w:tc>
          <w:tcPr>
            <w:tcW w:w="0" w:type="dxa"/>
            <w:vAlign w:val="bottom"/>
          </w:tcPr>
          <w:p>
            <w:pPr>
              <w:spacing w:after="0"/>
              <w:rPr>
                <w:sz w:val="1"/>
                <w:szCs w:val="1"/>
                <w:color w:val="auto"/>
              </w:rPr>
            </w:pPr>
          </w:p>
        </w:tc>
      </w:tr>
      <w:tr>
        <w:trPr>
          <w:trHeight w:val="445"/>
        </w:trPr>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406,278</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0" w:type="dxa"/>
            <w:vAlign w:val="bottom"/>
          </w:tcPr>
          <w:p>
            <w:pPr>
              <w:spacing w:after="0"/>
              <w:rPr>
                <w:sz w:val="1"/>
                <w:szCs w:val="1"/>
                <w:color w:val="auto"/>
              </w:rPr>
            </w:pPr>
          </w:p>
        </w:tc>
      </w:tr>
      <w:tr>
        <w:trPr>
          <w:trHeight w:val="432"/>
        </w:trPr>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1,539,818</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204,302</w:t>
            </w:r>
          </w:p>
        </w:tc>
        <w:tc>
          <w:tcPr>
            <w:tcW w:w="0" w:type="dxa"/>
            <w:vAlign w:val="bottom"/>
          </w:tcPr>
          <w:p>
            <w:pPr>
              <w:spacing w:after="0"/>
              <w:rPr>
                <w:sz w:val="1"/>
                <w:szCs w:val="1"/>
                <w:color w:val="auto"/>
              </w:rPr>
            </w:pPr>
          </w:p>
        </w:tc>
      </w:tr>
      <w:tr>
        <w:trPr>
          <w:trHeight w:val="445"/>
        </w:trPr>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0" w:type="dxa"/>
            <w:vAlign w:val="bottom"/>
          </w:tcPr>
          <w:p>
            <w:pPr>
              <w:spacing w:after="0"/>
              <w:rPr>
                <w:sz w:val="1"/>
                <w:szCs w:val="1"/>
                <w:color w:val="auto"/>
              </w:rPr>
            </w:pPr>
          </w:p>
        </w:tc>
      </w:tr>
      <w:tr>
        <w:trPr>
          <w:trHeight w:val="246"/>
        </w:trPr>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1"/>
                <w:szCs w:val="21"/>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33,885</w:t>
            </w:r>
          </w:p>
        </w:tc>
        <w:tc>
          <w:tcPr>
            <w:tcW w:w="0" w:type="dxa"/>
            <w:vAlign w:val="bottom"/>
          </w:tcPr>
          <w:p>
            <w:pPr>
              <w:spacing w:after="0"/>
              <w:rPr>
                <w:sz w:val="1"/>
                <w:szCs w:val="1"/>
                <w:color w:val="auto"/>
              </w:rPr>
            </w:pPr>
          </w:p>
        </w:tc>
      </w:tr>
      <w:tr>
        <w:trPr>
          <w:trHeight w:val="233"/>
        </w:trPr>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350,554,677</w:t>
            </w:r>
          </w:p>
        </w:tc>
        <w:tc>
          <w:tcPr>
            <w:tcW w:w="1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3,335,703</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12,190</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91,222</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3,439,118</w:t>
            </w:r>
          </w:p>
        </w:tc>
        <w:tc>
          <w:tcPr>
            <w:tcW w:w="0" w:type="dxa"/>
            <w:vAlign w:val="bottom"/>
          </w:tcPr>
          <w:p>
            <w:pPr>
              <w:spacing w:after="0"/>
              <w:rPr>
                <w:sz w:val="1"/>
                <w:szCs w:val="1"/>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-1499870</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-1053465</wp:posOffset>
            </wp:positionV>
            <wp:extent cx="7132320" cy="282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-633730</wp:posOffset>
            </wp:positionV>
            <wp:extent cx="7132320" cy="282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-196215</wp:posOffset>
            </wp:positionV>
            <wp:extent cx="713232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180"/>
            <w:col w:w="8380"/>
          </w:cols>
          <w:pgMar w:left="340" w:top="108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9" w:right="339" w:bottom="1440" w:gutter="0" w:footer="0" w:header="0"/>
          <w:type w:val="continuous"/>
        </w:sectPr>
      </w:pPr>
    </w:p>
    <w:bookmarkStart w:id="7" w:name="page8"/>
    <w:bookmarkEnd w:id="7"/>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2380" w:type="dxa"/>
            <w:vAlign w:val="bottom"/>
            <w:gridSpan w:val="3"/>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2380" w:type="dxa"/>
            <w:vAlign w:val="bottom"/>
            <w:gridSpan w:val="3"/>
            <w:vMerge w:val="restart"/>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86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gridSpan w:val="2"/>
            <w:vMerge w:val="restart"/>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20" w:type="dxa"/>
            <w:vAlign w:val="bottom"/>
            <w:gridSpan w:val="3"/>
            <w:vMerge w:val="restart"/>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Comprehensive Income</w:t>
            </w: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jc w:val="right"/>
              <w:ind w:right="62"/>
              <w:spacing w:after="0" w:line="122" w:lineRule="exact"/>
              <w:rPr>
                <w:sz w:val="20"/>
                <w:szCs w:val="20"/>
                <w:color w:val="auto"/>
              </w:rPr>
            </w:pPr>
            <w:r>
              <w:rPr>
                <w:rFonts w:ascii="Times New Roman" w:cs="Times New Roman" w:eastAsia="Times New Roman" w:hAnsi="Times New Roman"/>
                <w:sz w:val="13"/>
                <w:szCs w:val="13"/>
                <w:b w:val="1"/>
                <w:bCs w:val="1"/>
                <w:color w:val="auto"/>
                <w:w w:val="95"/>
              </w:rPr>
              <w:t>Total Stockholders'</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00" w:type="dxa"/>
            <w:vAlign w:val="bottom"/>
          </w:tcPr>
          <w:p>
            <w:pPr>
              <w:spacing w:after="0"/>
              <w:rPr>
                <w:sz w:val="14"/>
                <w:szCs w:val="14"/>
                <w:color w:val="auto"/>
              </w:rPr>
            </w:pPr>
          </w:p>
        </w:tc>
        <w:tc>
          <w:tcPr>
            <w:tcW w:w="1200" w:type="dxa"/>
            <w:vAlign w:val="bottom"/>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9"/>
        </w:trPr>
        <w:tc>
          <w:tcPr>
            <w:tcW w:w="2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BALANCE—December 31, 2025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352,525,971</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3,579,010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137,789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3,732,206</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2,167,724</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14,833</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and performance</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5,300,084</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shares of common</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for acquisitions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774,387</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75,327</w:t>
            </w:r>
          </w:p>
        </w:tc>
        <w:tc>
          <w:tcPr>
            <w:tcW w:w="0" w:type="dxa"/>
            <w:vAlign w:val="bottom"/>
          </w:tcPr>
          <w:p>
            <w:pPr>
              <w:spacing w:after="0"/>
              <w:rPr>
                <w:sz w:val="1"/>
                <w:szCs w:val="1"/>
                <w:color w:val="auto"/>
              </w:rPr>
            </w:pPr>
          </w:p>
        </w:tc>
      </w:tr>
      <w:tr>
        <w:trPr>
          <w:trHeight w:val="20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254,970</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39,067</w:t>
            </w:r>
          </w:p>
        </w:tc>
        <w:tc>
          <w:tcPr>
            <w:tcW w:w="0" w:type="dxa"/>
            <w:vAlign w:val="bottom"/>
          </w:tcPr>
          <w:p>
            <w:pPr>
              <w:spacing w:after="0"/>
              <w:rPr>
                <w:sz w:val="1"/>
                <w:szCs w:val="1"/>
                <w:color w:val="auto"/>
              </w:rPr>
            </w:pPr>
          </w:p>
        </w:tc>
      </w:tr>
      <w:tr>
        <w:trPr>
          <w:trHeight w:val="23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675,500</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loss</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(36,569)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(36,569)</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215,448</w:t>
            </w:r>
          </w:p>
        </w:tc>
        <w:tc>
          <w:tcPr>
            <w:tcW w:w="0" w:type="dxa"/>
            <w:vAlign w:val="bottom"/>
          </w:tcPr>
          <w:p>
            <w:pPr>
              <w:spacing w:after="0"/>
              <w:rPr>
                <w:sz w:val="1"/>
                <w:szCs w:val="1"/>
                <w:color w:val="auto"/>
              </w:rPr>
            </w:pPr>
          </w:p>
        </w:tc>
      </w:tr>
      <w:tr>
        <w:trPr>
          <w:trHeight w:val="264"/>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BALANCE—September 30, 2026</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361,023,136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4,383,737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353,237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4,715,812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2380" w:type="dxa"/>
            <w:vAlign w:val="bottom"/>
            <w:gridSpan w:val="3"/>
          </w:tcPr>
          <w:p>
            <w:pPr>
              <w:jc w:val="right"/>
              <w:ind w:right="42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960" w:type="dxa"/>
            <w:vAlign w:val="bottom"/>
          </w:tcPr>
          <w:p>
            <w:pPr>
              <w:spacing w:after="0"/>
              <w:rPr>
                <w:sz w:val="7"/>
                <w:szCs w:val="7"/>
                <w:color w:val="auto"/>
              </w:rPr>
            </w:pPr>
          </w:p>
        </w:tc>
        <w:tc>
          <w:tcPr>
            <w:tcW w:w="2380" w:type="dxa"/>
            <w:vAlign w:val="bottom"/>
            <w:gridSpan w:val="3"/>
            <w:vMerge w:val="restart"/>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vMerge w:val="restart"/>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w w:val="95"/>
              </w:rPr>
              <w:t>Total Stockholders'</w:t>
            </w:r>
          </w:p>
        </w:tc>
        <w:tc>
          <w:tcPr>
            <w:tcW w:w="0" w:type="dxa"/>
            <w:vAlign w:val="bottom"/>
          </w:tcPr>
          <w:p>
            <w:pPr>
              <w:spacing w:after="0"/>
              <w:rPr>
                <w:sz w:val="1"/>
                <w:szCs w:val="1"/>
                <w:color w:val="auto"/>
              </w:rPr>
            </w:pPr>
          </w:p>
        </w:tc>
      </w:tr>
      <w:tr>
        <w:trPr>
          <w:trHeight w:val="95"/>
        </w:trPr>
        <w:tc>
          <w:tcPr>
            <w:tcW w:w="2960" w:type="dxa"/>
            <w:vAlign w:val="bottom"/>
          </w:tcPr>
          <w:p>
            <w:pPr>
              <w:spacing w:after="0"/>
              <w:rPr>
                <w:sz w:val="8"/>
                <w:szCs w:val="8"/>
                <w:color w:val="auto"/>
              </w:rPr>
            </w:pPr>
          </w:p>
        </w:tc>
        <w:tc>
          <w:tcPr>
            <w:tcW w:w="2380" w:type="dxa"/>
            <w:vAlign w:val="bottom"/>
            <w:tcBorders>
              <w:bottom w:val="single" w:sz="8" w:color="auto"/>
            </w:tcBorders>
            <w:gridSpan w:val="3"/>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tcPr>
          <w:p>
            <w:pPr>
              <w:jc w:val="center"/>
              <w:ind w:right="320"/>
              <w:spacing w:after="0" w:line="95" w:lineRule="exact"/>
              <w:rPr>
                <w:sz w:val="20"/>
                <w:szCs w:val="20"/>
                <w:color w:val="auto"/>
              </w:rPr>
            </w:pPr>
            <w:r>
              <w:rPr>
                <w:rFonts w:ascii="Times New Roman" w:cs="Times New Roman" w:eastAsia="Times New Roman" w:hAnsi="Times New Roman"/>
                <w:sz w:val="10"/>
                <w:szCs w:val="10"/>
                <w:b w:val="1"/>
                <w:bCs w:val="1"/>
                <w:color w:val="auto"/>
              </w:rPr>
              <w:t>Paid-in</w:t>
            </w:r>
          </w:p>
        </w:tc>
        <w:tc>
          <w:tcPr>
            <w:tcW w:w="1420" w:type="dxa"/>
            <w:vAlign w:val="bottom"/>
            <w:gridSpan w:val="3"/>
          </w:tcPr>
          <w:p>
            <w:pPr>
              <w:jc w:val="center"/>
              <w:ind w:right="10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 (Loss)</w:t>
            </w: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960" w:type="dxa"/>
            <w:vAlign w:val="bottom"/>
          </w:tcPr>
          <w:p>
            <w:pPr>
              <w:spacing w:after="0"/>
              <w:rPr>
                <w:sz w:val="16"/>
                <w:szCs w:val="16"/>
                <w:color w:val="auto"/>
              </w:rPr>
            </w:pPr>
          </w:p>
        </w:tc>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8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00" w:type="dxa"/>
            <w:vAlign w:val="bottom"/>
          </w:tcPr>
          <w:p>
            <w:pPr>
              <w:spacing w:after="0"/>
              <w:rPr>
                <w:sz w:val="16"/>
                <w:szCs w:val="16"/>
                <w:color w:val="auto"/>
              </w:rPr>
            </w:pPr>
          </w:p>
        </w:tc>
        <w:tc>
          <w:tcPr>
            <w:tcW w:w="1200" w:type="dxa"/>
            <w:vAlign w:val="bottom"/>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14"/>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BALANCE—December 31, 2024</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342,118,782</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2,689,013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2,714,363</w:t>
            </w: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3,117,818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Vesting of restricted and performance</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4,265,877</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shares of common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for acquisitions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771,355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53,038</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287,014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28,578</w:t>
            </w:r>
          </w:p>
        </w:tc>
        <w:tc>
          <w:tcPr>
            <w:tcW w:w="0" w:type="dxa"/>
            <w:vAlign w:val="bottom"/>
          </w:tcPr>
          <w:p>
            <w:pPr>
              <w:spacing w:after="0"/>
              <w:rPr>
                <w:sz w:val="1"/>
                <w:szCs w:val="1"/>
                <w:color w:val="auto"/>
              </w:rPr>
            </w:pPr>
          </w:p>
        </w:tc>
      </w:tr>
      <w:tr>
        <w:trPr>
          <w:trHeight w:val="240"/>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560,648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560,648</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common stock in connection</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 the 2025 Convertible Senior Notes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comprehensive income</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16,891</w:t>
            </w: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61,174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61,174</w:t>
            </w:r>
          </w:p>
        </w:tc>
        <w:tc>
          <w:tcPr>
            <w:tcW w:w="0" w:type="dxa"/>
            <w:vAlign w:val="bottom"/>
          </w:tcPr>
          <w:p>
            <w:pPr>
              <w:spacing w:after="0"/>
              <w:rPr>
                <w:sz w:val="1"/>
                <w:szCs w:val="1"/>
                <w:color w:val="auto"/>
              </w:rPr>
            </w:pPr>
          </w:p>
        </w:tc>
      </w:tr>
      <w:tr>
        <w:trPr>
          <w:trHeight w:val="240"/>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BALANCE—September 30, 2025</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350,554,677</w:t>
            </w:r>
          </w:p>
        </w:tc>
        <w:tc>
          <w:tcPr>
            <w:tcW w:w="10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3,335,703</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12,190</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91,222</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3,439,118</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ind w:left="526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39370</wp:posOffset>
            </wp:positionV>
            <wp:extent cx="17316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9"/>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215,448</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61,174</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39,125</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Accretion of discounts on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(37,103)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(32,152)</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Amortization of issuance costs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Amortization of deferred contract costs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66,229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48,061</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Stock-based compensation, net of amounts capitalized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654,274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545,285</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Non-cash lease expense</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26,450</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Allowance for credit losses on accounts receivable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12,382</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receivable, net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(70,917)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38,887</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Deferred contract costs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(78,538)</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(12,036)</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104,704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24,299</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32,408</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0"/>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14,219</w:t>
            </w:r>
          </w:p>
        </w:tc>
      </w:tr>
      <w:tr>
        <w:trPr>
          <w:trHeight w:val="186"/>
        </w:trPr>
        <w:tc>
          <w:tcPr>
            <w:tcW w:w="83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940,446</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723,066</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88"/>
        </w:trPr>
        <w:tc>
          <w:tcPr>
            <w:tcW w:w="83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(3,224,925)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(2,517,372)</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2,629,158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1,884,273</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 of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323,086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13,125</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(40,686)</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(89,897)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(58,684)</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for acquisition of businesses; net of cash acquired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(117,282)</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3"/>
        </w:trPr>
        <w:tc>
          <w:tcPr>
            <w:tcW w:w="83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(510,306)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(836,626)</w:t>
            </w:r>
          </w:p>
        </w:tc>
      </w:tr>
      <w:tr>
        <w:trPr>
          <w:trHeight w:val="88"/>
        </w:trPr>
        <w:tc>
          <w:tcPr>
            <w:tcW w:w="836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r>
      <w:tr>
        <w:trPr>
          <w:trHeight w:val="209"/>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4,629</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issuance of common stock under the employee stock purchase plan</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39,067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28,578</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issuance of 2029 Convertible Senior Notes, net of issuance costs</w:t>
            </w:r>
          </w:p>
        </w:tc>
        <w:tc>
          <w:tcPr>
            <w:tcW w:w="3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9"/>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Repayments of 2025 Convertible Senior Notes</w:t>
            </w: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(635,547)</w:t>
            </w:r>
          </w:p>
        </w:tc>
      </w:tr>
      <w:tr>
        <w:trPr>
          <w:trHeight w:val="186"/>
        </w:trPr>
        <w:tc>
          <w:tcPr>
            <w:tcW w:w="83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53,900</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(602,530)</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42"/>
        </w:trPr>
        <w:tc>
          <w:tcPr>
            <w:tcW w:w="8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9,709</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48"/>
        </w:trPr>
        <w:tc>
          <w:tcPr>
            <w:tcW w:w="8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bl>
    <w:p>
      <w:pPr>
        <w:spacing w:after="0" w:line="4" w:lineRule="exact"/>
        <w:rPr>
          <w:sz w:val="20"/>
          <w:szCs w:val="20"/>
          <w:color w:val="auto"/>
        </w:rPr>
      </w:pPr>
    </w:p>
    <w:p>
      <w:pPr>
        <w:sectPr>
          <w:pgSz w:w="11900" w:h="16838" w:orient="portrait"/>
          <w:cols w:equalWidth="0" w:num="1">
            <w:col w:w="11080"/>
          </w:cols>
          <w:pgMar w:left="320" w:top="1089" w:right="499" w:bottom="1440" w:gutter="0" w:footer="0" w:header="0"/>
        </w:sectPr>
      </w:pPr>
    </w:p>
    <w:p>
      <w:pPr>
        <w:ind w:left="20" w:right="3320"/>
        <w:spacing w:after="0" w:line="372" w:lineRule="auto"/>
        <w:rPr>
          <w:sz w:val="20"/>
          <w:szCs w:val="20"/>
          <w:color w:val="auto"/>
        </w:rPr>
      </w:pPr>
      <w:r>
        <w:rPr>
          <w:rFonts w:ascii="Times New Roman" w:cs="Times New Roman" w:eastAsia="Times New Roman" w:hAnsi="Times New Roman"/>
          <w:sz w:val="14"/>
          <w:szCs w:val="14"/>
          <w:color w:val="auto"/>
        </w:rPr>
        <w:t>NET INCREASE (DECREASE) IN CASH AND CASH EQUIVALENTS CASH AND CASH EQUIVALENTS—Beginning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02945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945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CASH AND CASH EQUIVALENTS—End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02945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479,925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(706,381)</w:t>
            </w:r>
          </w:p>
        </w:tc>
      </w:tr>
      <w:tr>
        <w:trPr>
          <w:trHeight w:val="229"/>
        </w:trPr>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401,305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1,246,983</w:t>
            </w:r>
          </w:p>
        </w:tc>
      </w:tr>
      <w:tr>
        <w:trPr>
          <w:trHeight w:val="37"/>
        </w:trPr>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881,230</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540,602</w:t>
            </w:r>
          </w:p>
        </w:tc>
      </w:tr>
      <w:tr>
        <w:trPr>
          <w:trHeight w:val="37"/>
        </w:trPr>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ectPr>
          <w:pgSz w:w="11900" w:h="16838" w:orient="portrait"/>
          <w:cols w:equalWidth="0" w:num="2">
            <w:col w:w="7640" w:space="720"/>
            <w:col w:w="2720"/>
          </w:cols>
          <w:pgMar w:left="320" w:top="1089" w:right="49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7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for income taxes, net of refunds</w:t>
            </w:r>
          </w:p>
        </w:tc>
        <w:tc>
          <w:tcPr>
            <w:tcW w:w="154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25,708</w:t>
            </w:r>
          </w:p>
        </w:tc>
        <w:tc>
          <w:tcPr>
            <w:tcW w:w="54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15,328</w:t>
            </w:r>
          </w:p>
        </w:tc>
      </w:tr>
      <w:tr>
        <w:trPr>
          <w:trHeight w:val="108"/>
        </w:trPr>
        <w:tc>
          <w:tcPr>
            <w:tcW w:w="7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09"/>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5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193"/>
        </w:trPr>
        <w:tc>
          <w:tcPr>
            <w:tcW w:w="7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property and equipment purchases</w:t>
            </w:r>
          </w:p>
        </w:tc>
        <w:tc>
          <w:tcPr>
            <w:tcW w:w="15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17,482</w:t>
            </w:r>
          </w:p>
        </w:tc>
        <w:tc>
          <w:tcPr>
            <w:tcW w:w="5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6,064</w:t>
            </w:r>
          </w:p>
        </w:tc>
      </w:tr>
      <w:tr>
        <w:trPr>
          <w:trHeight w:val="37"/>
        </w:trPr>
        <w:tc>
          <w:tcPr>
            <w:tcW w:w="7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9"/>
        </w:trPr>
        <w:tc>
          <w:tcPr>
            <w:tcW w:w="7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included in capitalized software development costs</w:t>
            </w:r>
          </w:p>
        </w:tc>
        <w:tc>
          <w:tcPr>
            <w:tcW w:w="154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21,226</w:t>
            </w:r>
          </w:p>
        </w:tc>
        <w:tc>
          <w:tcPr>
            <w:tcW w:w="54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15,363</w:t>
            </w:r>
          </w:p>
        </w:tc>
      </w:tr>
      <w:tr>
        <w:trPr>
          <w:trHeight w:val="193"/>
        </w:trPr>
        <w:tc>
          <w:tcPr>
            <w:tcW w:w="7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restricted shares of common stock for the acquisition of businesses</w:t>
            </w:r>
          </w:p>
        </w:tc>
        <w:tc>
          <w:tcPr>
            <w:tcW w:w="15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75,327</w:t>
            </w:r>
          </w:p>
        </w:tc>
        <w:tc>
          <w:tcPr>
            <w:tcW w:w="5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53,038</w:t>
            </w:r>
          </w:p>
        </w:tc>
      </w:tr>
      <w:tr>
        <w:trPr>
          <w:trHeight w:val="37"/>
        </w:trPr>
        <w:tc>
          <w:tcPr>
            <w:tcW w:w="7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92"/>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 holdback</w:t>
            </w:r>
          </w:p>
        </w:tc>
        <w:tc>
          <w:tcPr>
            <w:tcW w:w="154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14,295</w:t>
            </w:r>
          </w:p>
        </w:tc>
        <w:tc>
          <w:tcPr>
            <w:tcW w:w="54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16,072</w:t>
            </w:r>
          </w:p>
        </w:tc>
      </w:tr>
      <w:tr>
        <w:trPr>
          <w:trHeight w:val="37"/>
        </w:trPr>
        <w:tc>
          <w:tcPr>
            <w:tcW w:w="72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080"/>
          </w:cols>
          <w:pgMar w:left="320" w:top="1089" w:right="499" w:bottom="1440" w:gutter="0" w:footer="0" w:header="0"/>
          <w:type w:val="continuous"/>
        </w:sectPr>
      </w:pPr>
    </w:p>
    <w:p>
      <w:pPr>
        <w:spacing w:after="0" w:line="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9" w:right="49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Datadog, Inc. (“Datadog” or the “Company”) was incorporated in the State of Delaware on June 4, 2010. On April 21, 2026, the Company completed its conversion from a corporation organized under the laws of the State of Delaware to a corporation organized under the laws of the State of Nevada.</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is the AI-powered observability and security platform for cloud applications. </w:t>
      </w:r>
      <w:r>
        <w:rPr>
          <w:rFonts w:ascii="Times New Roman" w:cs="Times New Roman" w:eastAsia="Times New Roman" w:hAnsi="Times New Roman"/>
          <w:sz w:val="18"/>
          <w:szCs w:val="18"/>
          <w:color w:val="231F20"/>
        </w:rPr>
        <w:t>The Company’s SaaS platform integrates and automates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infrastructure monitoring, application performance monitoring, log management, user experience monitoring, cloud security, service management, and many other capabilities to provide unified, real-time observability and security of its customers’ entire technology stack. </w:t>
      </w:r>
      <w:r>
        <w:rPr>
          <w:rFonts w:ascii="Times New Roman" w:cs="Times New Roman" w:eastAsia="Times New Roman" w:hAnsi="Times New Roman"/>
          <w:sz w:val="18"/>
          <w:szCs w:val="18"/>
          <w:color w:val="000000"/>
        </w:rPr>
        <w:t>The Company is headquartered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New York City and has various other global office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Datadog, Inc. and its wholly-owned subsidiaries, and have been prepared in accordance with generally accepted accounting principles in the United States (“GAAP”) and following the requirements of the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2026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2025, as filed with the SEC on February 18, 2026 (the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of America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Datadog, Inc. and its wholly-owned subsidiaries. All intercompany transactions and balances have been eliminated in consolidation.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amounts reported in the condensed consolidated financial statements and accompanying notes. Such estimates include the fair value of marketable securities, the allowance for credit losses, the fair value of acquired assets and assumed liabilities from business combinations, useful lives of property, equipment, software and finite lived intangibles, stock-based compensation, valuation of long-lived assets and their recoverability, including goodwill, the incremental borrowing rate for operating leases, estimated expected period of benefit for deferred contract costs, fair value of the liability component of the convertible debt,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utilizes foreign currency forward contracts to reduce the volatility in cash flows associated with forecasted operating expenses denominated in currencies other than the U.S. dollar. These foreign currency forward contracts are designated as cash flow hedges. The Company does not enter into derivative instruments for trading or speculative purposes. Changes in the fair value of these instruments are recorded in accumulated other comprehensive income (loss) and are subsequently reclassified into earnings in the same period in which the underlying hedged transactions affect earnings, generally within operating expenses. In the event the underlying forecasted transactions do not occur, or it becomes probable that they will not occur within the designated hedge period, the related gains or losses are reclassified into earnings. The Company formally designates and documents hedging relationships at inception and assesses hedge effectiveness at inception and on a quarterly basis thereafter. Cash flows at settlement of such foreign currency forward contracts are classified in the same category as the cash flows from the underlying hedged forecasted transactions.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Accounting Pronouncements Recently Adopted</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31F20"/>
        </w:rPr>
        <w:t xml:space="preserve">In July 2025, the FASB issued ASU No. 2025-05, </w:t>
      </w:r>
      <w:r>
        <w:rPr>
          <w:rFonts w:ascii="Times New Roman" w:cs="Times New Roman" w:eastAsia="Times New Roman" w:hAnsi="Times New Roman"/>
          <w:sz w:val="18"/>
          <w:szCs w:val="18"/>
          <w:i w:val="1"/>
          <w:iCs w:val="1"/>
          <w:color w:val="231F20"/>
        </w:rPr>
        <w:t>Financial Instruments-Credit Losses (Topic 326): Measurement of Credit Losses for Accounts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Receivable and Contract Assets (</w:t>
      </w:r>
      <w:r>
        <w:rPr>
          <w:rFonts w:ascii="Times New Roman" w:cs="Times New Roman" w:eastAsia="Times New Roman" w:hAnsi="Times New Roman"/>
          <w:sz w:val="18"/>
          <w:szCs w:val="18"/>
          <w:color w:val="231F20"/>
        </w:rPr>
        <w:t>"ASU No. 2025-05"</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which provides a practical expedient related to the estimation of expected credit losses for current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accounts receivable and current contract assets that arise from transactions accounted for under ASC 606. The practical expedient permits an entity to assume that current conditions as of the balance sheet date do not change for the remaining life of the asset. This guidance is effective for annual periods, including interim reporting periods, beginning after December 15, 2025, on a prospective basis, with early adoption permitted. The Company adopted this standard on a prospective basis for interim and annual periods beginning January 1, 2026. The adoption of this guidance did not have a material impact on the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Accounting Pronouncements Not Yet Adopted</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31F20"/>
        </w:rPr>
        <w:t xml:space="preserve">In November 2024, the FASB issued ASU No. 2024-03, </w:t>
      </w:r>
      <w:r>
        <w:rPr>
          <w:rFonts w:ascii="Times New Roman" w:cs="Times New Roman" w:eastAsia="Times New Roman" w:hAnsi="Times New Roman"/>
          <w:sz w:val="18"/>
          <w:szCs w:val="18"/>
          <w:i w:val="1"/>
          <w:iCs w:val="1"/>
          <w:color w:val="231F20"/>
        </w:rPr>
        <w:t>Income Statement-Reporting Comprehensive Income-Expense Disaggregation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Disclosures (Subtopic 220-40) </w:t>
      </w:r>
      <w:r>
        <w:rPr>
          <w:rFonts w:ascii="Times New Roman" w:cs="Times New Roman" w:eastAsia="Times New Roman" w:hAnsi="Times New Roman"/>
          <w:sz w:val="18"/>
          <w:szCs w:val="18"/>
          <w:color w:val="231F20"/>
        </w:rPr>
        <w:t>("ASU No. 2024-03"), which requires disaggregated disclosure of income statement expenses for public business entities.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ASU does not change the expense captions an entity presents on the face of the income statement; rather, it requires disaggregation of certain expense captions into specified categories in disclosures within the footnotes to the financial statements. For public business entities, it is effective for fiscal years beginning after December 15, 2026, and interim periods within fiscal years beginning after December 15, 2027, with early adoption permitted. The amendments in this ASU should be applied prospectively, however, public business entities are permitted to apply the amendments in the ASU retrospectively. The Company is currently evaluating the impact of the adoption of this standard on its consolidated financial statements.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31F20"/>
        </w:rPr>
        <w:t xml:space="preserve">In September 2025, the FASB issued ASU 2025-06, </w:t>
      </w:r>
      <w:r>
        <w:rPr>
          <w:rFonts w:ascii="Times New Roman" w:cs="Times New Roman" w:eastAsia="Times New Roman" w:hAnsi="Times New Roman"/>
          <w:sz w:val="18"/>
          <w:szCs w:val="18"/>
          <w:i w:val="1"/>
          <w:iCs w:val="1"/>
          <w:color w:val="231F20"/>
        </w:rPr>
        <w:t>Intangibles—Goodwill and Other—Internal-Use Software (Subtopic 350-40): Targeted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Improvements to the Accounting for Internal-Use Software </w:t>
      </w:r>
      <w:r>
        <w:rPr>
          <w:rFonts w:ascii="Times New Roman" w:cs="Times New Roman" w:eastAsia="Times New Roman" w:hAnsi="Times New Roman"/>
          <w:sz w:val="18"/>
          <w:szCs w:val="18"/>
          <w:color w:val="231F20"/>
        </w:rPr>
        <w:t>("ASU No. 2025-06"), to modernize the accounting for software costs that are accounted for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under Subtopic 350-40. The ASU removes all references to software development stages and allows software development costs to be capitalized once management commits to funding the project and it is probable that the project will be completed and used as intended. The ASU also introduces the concept of "significant development uncertainty," which, if present, prevents capitalization. The guidance is effective for annual reporting periods, including interim reporting periods, beginning after December 15, 2027. The guidance may be applied prospectively, retrospectively, or via a modified prospective transition method. The Company is currently evaluating the impact of the adoption of this standard on its consolidated financial statements.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31F20"/>
        </w:rPr>
        <w:t xml:space="preserve">In December 2025, the FASB issued ASU 2025-11, </w:t>
      </w:r>
      <w:r>
        <w:rPr>
          <w:rFonts w:ascii="Times New Roman" w:cs="Times New Roman" w:eastAsia="Times New Roman" w:hAnsi="Times New Roman"/>
          <w:sz w:val="18"/>
          <w:szCs w:val="18"/>
          <w:i w:val="1"/>
          <w:iCs w:val="1"/>
          <w:color w:val="231F20"/>
        </w:rPr>
        <w:t>Interim Reporting (Topics 270): Narrow-Scope Improvements</w:t>
      </w:r>
      <w:r>
        <w:rPr>
          <w:rFonts w:ascii="Times New Roman" w:cs="Times New Roman" w:eastAsia="Times New Roman" w:hAnsi="Times New Roman"/>
          <w:sz w:val="18"/>
          <w:szCs w:val="18"/>
          <w:color w:val="231F20"/>
        </w:rPr>
        <w:t xml:space="preserve"> ("ASU No. 2025-11"), which amends guidance related to interim financial reporting. The guidance is effective for interim reporting periods within annual reporting periods beginning after December 15, 2027, with early adoption permitted. The Company is currently evaluating the impact of the adoption of this standard on its consolidated financial statements.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231F20"/>
        </w:rPr>
        <w:t xml:space="preserve">In May 2026, the FASB issued ASU 2026-02, </w:t>
      </w:r>
      <w:r>
        <w:rPr>
          <w:rFonts w:ascii="Times New Roman" w:cs="Times New Roman" w:eastAsia="Times New Roman" w:hAnsi="Times New Roman"/>
          <w:sz w:val="18"/>
          <w:szCs w:val="18"/>
          <w:i w:val="1"/>
          <w:iCs w:val="1"/>
          <w:color w:val="231F20"/>
        </w:rPr>
        <w:t>Environmental Credits and Environmental Credit Obligations (Topic 818)</w:t>
      </w:r>
      <w:r>
        <w:rPr>
          <w:rFonts w:ascii="Times New Roman" w:cs="Times New Roman" w:eastAsia="Times New Roman" w:hAnsi="Times New Roman"/>
          <w:sz w:val="18"/>
          <w:szCs w:val="18"/>
          <w:color w:val="231F20"/>
        </w:rPr>
        <w:t xml:space="preserve"> ("ASU No. 2026-02"), to establish accounting guidance for environmental credits and environmental credit obligations, including their recognition, measurement, presentation, and disclosure. The guidance is effective for annual reporting periods, including interim reporting periods, beginning after December 15, 2027, with early adoption permitted. The guidance should be applied on a retrospective basis through a cumulative-effect adjustment to the opening balance of retained earnings as of the beginning of the annual reporting period of adoption. The Company is currently evaluating the impact of the adoption of this standard on its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jc w:val="both"/>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is a summary of available-for-sale marketable securities, excluding those securities classified within cash and cash equivalents on the condensed consolidated balance sheets as of September 30, 2026 and December 31, 2025 (in thousands):</w:t>
      </w: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31"/>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10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2,569,746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2,555,250</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863,428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861,754</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744,384</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191,245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190,969</w:t>
            </w:r>
          </w:p>
        </w:tc>
      </w:tr>
      <w:tr>
        <w:trPr>
          <w:trHeight w:val="248"/>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4,374,950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4,352,357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75"/>
        </w:trPr>
        <w:tc>
          <w:tcPr>
            <w:tcW w:w="5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8"/>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7"/>
                <w:szCs w:val="17"/>
                <w:color w:val="auto"/>
              </w:rPr>
            </w:pPr>
          </w:p>
        </w:tc>
        <w:tc>
          <w:tcPr>
            <w:tcW w:w="10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2,577,421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2,583,393</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695,894</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599,967</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192,784</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4,065,166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4,073,531</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2026, the fair values of available-for-sale marketable securities, by remaining contractual maturity, were as follows (in thousands):</w:t>
      </w:r>
    </w:p>
    <w:p>
      <w:pPr>
        <w:spacing w:after="0" w:line="207" w:lineRule="exact"/>
        <w:rPr>
          <w:sz w:val="20"/>
          <w:szCs w:val="20"/>
          <w:color w:val="auto"/>
        </w:rPr>
      </w:pPr>
    </w:p>
    <w:tbl>
      <w:tblPr>
        <w:tblLayout w:type="fixed"/>
        <w:tblInd w:w="2460" w:type="dxa"/>
        <w:tblCellMar>
          <w:top w:w="0" w:type="dxa"/>
          <w:left w:w="0" w:type="dxa"/>
          <w:bottom w:w="0" w:type="dxa"/>
          <w:right w:w="0" w:type="dxa"/>
        </w:tblCellMar>
      </w:tblP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2,646,423</w:t>
            </w:r>
          </w:p>
        </w:tc>
      </w:tr>
      <w:tr>
        <w:trPr>
          <w:trHeight w:val="22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one year through five years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1,705,934</w:t>
            </w:r>
          </w:p>
        </w:tc>
      </w:tr>
      <w:tr>
        <w:trPr>
          <w:trHeight w:val="248"/>
        </w:trPr>
        <w:tc>
          <w:tcPr>
            <w:tcW w:w="4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4,352,357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gains and losses on marketable securities are presented net of tax.</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have been measured at fair value on a recurring basis as of September 30, 2026 and December 31, 2025, and indicate the fair value hierarchy of the valuation inputs utilized to determine such fair value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320" w:type="dxa"/>
            <w:vAlign w:val="bottom"/>
            <w:gridSpan w:val="9"/>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Fair Value Measurement as of September 30, 2026</w:t>
            </w:r>
          </w:p>
        </w:tc>
        <w:tc>
          <w:tcPr>
            <w:tcW w:w="102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747,141</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747,141</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2,555,250</w:t>
            </w: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861,754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861,754</w:t>
            </w: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744,384</w:t>
            </w:r>
          </w:p>
        </w:tc>
      </w:tr>
      <w:tr>
        <w:trPr>
          <w:trHeight w:val="23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190,969</w:t>
            </w:r>
          </w:p>
        </w:tc>
      </w:tr>
      <w:tr>
        <w:trPr>
          <w:trHeight w:val="248"/>
        </w:trPr>
        <w:tc>
          <w:tcPr>
            <w:tcW w:w="564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747,141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5,099,498</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76"/>
        </w:trPr>
        <w:tc>
          <w:tcPr>
            <w:tcW w:w="5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Derivative liabilities—included in accrued expenses and other current</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1"/>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2"/>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flow hedges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r>
      <w:tr>
        <w:trPr>
          <w:trHeight w:val="223"/>
        </w:trPr>
        <w:tc>
          <w:tcPr>
            <w:tcW w:w="5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w:t>
            </w:r>
          </w:p>
        </w:tc>
      </w:tr>
      <w:tr>
        <w:trPr>
          <w:trHeight w:val="21"/>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96"/>
        </w:trPr>
        <w:tc>
          <w:tcPr>
            <w:tcW w:w="5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20" w:type="dxa"/>
            <w:vAlign w:val="bottom"/>
            <w:gridSpan w:val="9"/>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2025</w:t>
            </w:r>
          </w:p>
        </w:tc>
        <w:tc>
          <w:tcPr>
            <w:tcW w:w="1020" w:type="dxa"/>
            <w:vAlign w:val="bottom"/>
          </w:tcPr>
          <w:p>
            <w:pPr>
              <w:spacing w:after="0"/>
              <w:rPr>
                <w:sz w:val="24"/>
                <w:szCs w:val="24"/>
                <w:color w:val="auto"/>
              </w:rPr>
            </w:pP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311,106</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311,106</w:t>
            </w:r>
          </w:p>
        </w:tc>
      </w:tr>
      <w:tr>
        <w:trPr>
          <w:trHeight w:val="23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29,879</w:t>
            </w:r>
          </w:p>
        </w:tc>
      </w:tr>
      <w:tr>
        <w:trPr>
          <w:trHeight w:val="229"/>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2,583,393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2,583,393</w:t>
            </w:r>
          </w:p>
        </w:tc>
      </w:tr>
      <w:tr>
        <w:trPr>
          <w:trHeight w:val="23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695,894</w:t>
            </w:r>
          </w:p>
        </w:tc>
      </w:tr>
      <w:tr>
        <w:trPr>
          <w:trHeight w:val="229"/>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599,967</w:t>
            </w:r>
          </w:p>
        </w:tc>
      </w:tr>
      <w:tr>
        <w:trPr>
          <w:trHeight w:val="23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192,784</w:t>
            </w:r>
          </w:p>
        </w:tc>
      </w:tr>
      <w:tr>
        <w:trPr>
          <w:trHeight w:val="230"/>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23"/>
        </w:trPr>
        <w:tc>
          <w:tcPr>
            <w:tcW w:w="5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311,106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4,104,934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4,416,040</w:t>
            </w:r>
          </w:p>
        </w:tc>
      </w:tr>
      <w:tr>
        <w:trPr>
          <w:trHeight w:val="20"/>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including money market funds with an original maturity of three months or less at the date of purchase, to be cash equivalents. The Company uses quoted prices in active markets for assets to determine the fair value of its Level 1 investments in money market funds. The Company classifies its commercial paper, corporate debt securities, certificates of deposit, U.S. government treasury securities, U.S. government agency securities, and cash flow hedges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8,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to the condensed consolidated financial statements for further details.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63,146</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28,319</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99,009</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454,732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329,117</w:t>
            </w:r>
          </w:p>
        </w:tc>
      </w:tr>
      <w:tr>
        <w:trPr>
          <w:trHeight w:val="22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519,591</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(248,566)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(181,498)</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338,093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capitalizes costs related to the development of computer software for internal use and is included in capitalized software development costs within property and equipment, net.</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was approximately $18.4 million and $52.5 million for the three and nine months ended September 30, 2026, respectively. Depreciation and amortization expense was approximately $13.3 million and $34.6 million for the three and nine months ended September 30,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 Intangible Assets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Acquisitions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2026, the Company entered into three purchase agreements for acquisitions of businesses, each of which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does not consider the acquisitions to be material, individually or in aggregate. The total aggregate purchase price of $191.5 million consisted of $98.5 million in cash payments, net of cash acquired, $14.3 million of deferred acquisition holdback payments and the issuance of 796,509 restricted shares of Class A common stock. The total purchase price was allocated to intangible assets in the amount of $10.5 million and goodwill in the amount of $179.3 million based on the respective estimated fair values. The purchase price allocations are preliminary. The Company continues to collect information with regard to its estimates and assumptions, including potential liabilities and contingencies. The Company will record adjustments to the fair value of the assets acquired, liabilities assumed and goodwill within the 12 month measurement period, if necessary. The resulting goodwill from each of the agreements is not deductible for income tax purposes. Pro forma results of operations from these acquisitions have not been presented because they were not material to the consolidated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During the year ended December 31, 2025, the Company entered into three purchase agreements for acquisitions of businesses, each of which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does not consider the acquisitions to be material, individually or in aggregate. The total purchase price in aggregate of $178.4 million consisted of $109.3 million in cash payments, net of cash acquired, $16.1 million of deferred acquisition holdback payments and the issuance of 770,044 restricted shares of Class A common stock. The total purchase price was allocated to intangible assets in the amount of $17.6 million and goodwill in the amount of $163.1 million based on the respective estimated fair values. The resulting goodwill from the agreements is not deductible for income tax purposes. Pro forma results of operations from the acquisitions have not been presented because they were not material to the consolidated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Company entered into one purchase agreement for an acquisition of a business, which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does not consider this acquisition to be material. The total purchase price was allocated to intangible assets in the amount of $0.7 million and goodwill in the amount of $10.2 million based on the respective estimated fair values. The resulting goodwill from the agreements is not deductible for income tax purposes. Pro forma results of operations from the acquisition have not been presented because they were not material to the consolidated results of operations.</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080" w:type="dxa"/>
            <w:vAlign w:val="bottom"/>
          </w:tcPr>
          <w:p>
            <w:pPr>
              <w:jc w:val="center"/>
              <w:ind w:right="139"/>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0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15,971</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080" w:type="dxa"/>
            <w:vAlign w:val="bottom"/>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0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Intangible amortization expense was approximately $2.4 million and $1.7 million for each of the three months ended September 30, 2026 and 2025, and $5.7 million and $4.5 million for the nine months ended September 30, 2026 and 2025, respectively.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2026, future amortization expense by year is expected to be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r>
      <w:tr>
        <w:trPr>
          <w:trHeight w:val="248"/>
        </w:trPr>
        <w:tc>
          <w:tcPr>
            <w:tcW w:w="9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changes in the carrying amount of goodwill were as follows (in thousands):</w:t>
      </w:r>
    </w:p>
    <w:p>
      <w:pPr>
        <w:spacing w:after="0" w:line="138"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4"/>
          <w:szCs w:val="14"/>
          <w:b w:val="1"/>
          <w:bCs w:val="1"/>
          <w:color w:val="auto"/>
        </w:rPr>
        <w:t>Amount</w:t>
      </w:r>
    </w:p>
    <w:p>
      <w:pPr>
        <w:sectPr>
          <w:pgSz w:w="11900" w:h="16838" w:orient="portrait"/>
          <w:cols w:equalWidth="0" w:num="1">
            <w:col w:w="11240"/>
          </w:cols>
          <w:pgMar w:left="320" w:top="1305"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Foreign currency translation and other adjustments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645" w:hanging="645"/>
        <w:spacing w:after="0"/>
        <w:tabs>
          <w:tab w:leader="none" w:pos="6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530,568</w:t>
      </w:r>
    </w:p>
    <w:p>
      <w:pPr>
        <w:spacing w:after="0" w:line="27" w:lineRule="exact"/>
        <w:rPr>
          <w:rFonts w:ascii="Times New Roman" w:cs="Times New Roman" w:eastAsia="Times New Roman" w:hAnsi="Times New Roman"/>
          <w:sz w:val="18"/>
          <w:szCs w:val="18"/>
          <w:color w:val="auto"/>
        </w:rPr>
      </w:pPr>
    </w:p>
    <w:p>
      <w:pPr>
        <w:ind w:left="6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179,334</w:t>
      </w:r>
    </w:p>
    <w:p>
      <w:pPr>
        <w:spacing w:after="0" w:line="22" w:lineRule="exact"/>
        <w:rPr>
          <w:rFonts w:ascii="Times New Roman" w:cs="Times New Roman" w:eastAsia="Times New Roman" w:hAnsi="Times New Roman"/>
          <w:sz w:val="18"/>
          <w:szCs w:val="18"/>
          <w:color w:val="auto"/>
        </w:rPr>
      </w:pPr>
    </w:p>
    <w:p>
      <w:pPr>
        <w:ind w:left="7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401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1" w:lineRule="exact"/>
        <w:rPr>
          <w:sz w:val="20"/>
          <w:szCs w:val="20"/>
          <w:color w:val="auto"/>
        </w:rPr>
      </w:pPr>
    </w:p>
    <w:p>
      <w:pPr>
        <w:ind w:left="645" w:hanging="645"/>
        <w:spacing w:after="0"/>
        <w:tabs>
          <w:tab w:leader="none" w:pos="6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706,644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8401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8401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15" w:space="720"/>
            <w:col w:w="1305"/>
          </w:cols>
          <w:pgMar w:left="320" w:top="1305"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commissions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109,765</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tax liability and sales tax</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46,896</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209,595</w:t>
            </w:r>
          </w:p>
        </w:tc>
      </w:tr>
      <w:tr>
        <w:trPr>
          <w:trHeight w:val="21"/>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231F20"/>
        </w:rPr>
        <w:t>D</w:t>
      </w:r>
      <w:r>
        <w:rPr>
          <w:rFonts w:ascii="Times New Roman" w:cs="Times New Roman" w:eastAsia="Times New Roman" w:hAnsi="Times New Roman"/>
          <w:sz w:val="18"/>
          <w:szCs w:val="18"/>
          <w:color w:val="000000"/>
        </w:rPr>
        <w:t>ue to the timing of when invoices are received, payables for cloud hosting and infrastructure expenses are included within accounts payable on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condensed consolidated balance sheets, amounting to $179.1 million and $122.7 million as of September 30, 2026 and December 31,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Convertible Senior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Senior Notes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June 2, 2020, the Company issued $747.5 million aggregate principal amount of the “2025 Notes.” The 2025 Notes bore interest at a rate of 0.125% per year. The total net proceeds from the sale of the 2025 Notes, after deducting the initial purchasers’ discounts and debt issuance costs, were approximately $730.2 million. The 2025 Notes matured on June 15, 2025. The remaining $634.1 million aggregate principal amount of the 2025 Notes were converted prior to maturity and in connection with such conversions, the Company delivered $634.1 million in cash and issued 1,354,569 shares of the Company's Class A common stock to converting note 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Convertible Senior Notes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December 12, 2024, the Company issued $1.0 billion aggregate principal amount of 0.00% Convertible Senior Notes due 2029 (the “2029 Notes”) in a private placement to qualified institutional buyers pursuant to Rule 144A under the Securities Act. The total net proceeds from the sale of the 2029 Notes, after deducting the initial purchasers’ discounts and debt issuance costs, were approximately $979.1 million. The 2029 Notes do not bear interest and the principal amount of the 2029 Notes will not accrete. The 2029 Notes will mature on December 1, 2029, unless earlier converted, redeemed or repurchased.</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Holders may convert their 2029 Notes at their option at any time prior to the close of business on the business day immediately preceding September 1, 2029 only under the following circumstances:</w:t>
      </w:r>
    </w:p>
    <w:p>
      <w:pPr>
        <w:spacing w:after="0" w:line="54" w:lineRule="exact"/>
        <w:rPr>
          <w:sz w:val="20"/>
          <w:szCs w:val="20"/>
          <w:color w:val="auto"/>
        </w:rPr>
      </w:pPr>
    </w:p>
    <w:p>
      <w:pPr>
        <w:jc w:val="both"/>
        <w:ind w:left="980" w:hanging="486"/>
        <w:spacing w:after="0" w:line="261" w:lineRule="auto"/>
        <w:tabs>
          <w:tab w:leader="none" w:pos="9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March 31, 2025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for the 2029 Notes on each applicable trading day;</w:t>
      </w:r>
    </w:p>
    <w:p>
      <w:pPr>
        <w:spacing w:after="0" w:line="7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(the “measurement period”) in which the trading price per $1,000 principal amount of 2029 Notes for each trading day of the measurement period was less than 98% of the product of the last reported sale price of the Company’s Class A common stock and the conversion rate on each such trading day;</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such 2029 Notes for redemption, at any time prior to the close of business on the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2029 Notes (the “2029 Indenture”).</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or after September 1, 2029 until the close of business on the second scheduled trading day immediately preceding the maturity date for the 2029 Notes, holders may convert all or any portion of their 2029 Notes, in integral multiples of $1,000 principal amount, at the option of the holder regardless of the foregoing circumstances. The conversion rate for the 2029 Notes is initially 4.5955 shares of Class A common stock per $1,000 principal amount of 2029 Notes (equivalent to an initial conversion price for the 2029 Notes of approximately $217.60 per share of Class A common stock), subject to adjustment as set forth in the 2029 Indenture. Upon conversion, the Company will pay or deliver, as the case may be, cash, shares of Class 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20 trading day observation period as described in the 2029 Indenture. In addition, if specific corporate events occur prior to the applicable maturity date for the 2029 Notes, or if the Company elects to redeem the 2029 Notes, the Company will increase the conversion rate for the 2029 Notes for a holder who elects to convert their 2029 Notes in connection with such a corporate event or redemption in certain circumstances.</w:t>
      </w:r>
    </w:p>
    <w:p>
      <w:pPr>
        <w:spacing w:after="0" w:line="18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the conditional conversion features of the 2029 Notes were not triggered. Therefore the 2029 Notes are not convertible, in whole or in part, at the option of the holders between October 1, 2026 through December 31, 2026. As of September 30, 2026, the 2029 Notes were classified as non-current liabilities on the Company's condensed consolidated balance sheet.</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may not redeem the 2029 Notes prior to December 6, 2027. The Company may redeem for cash all or any portion of the 2029 Notes, at its option, on or after December 6, 2027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2029 Notes to be redeemed, plus accrued and unpaid special interest, if any, to, but excluding, the redemption date.</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net carrying amount of the 2029 Notes was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(16,551)</w:t>
            </w:r>
          </w:p>
        </w:tc>
      </w:tr>
      <w:tr>
        <w:trPr>
          <w:trHeight w:val="223"/>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carrying amount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986,595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983,449</w:t>
            </w:r>
          </w:p>
        </w:tc>
      </w:tr>
      <w:tr>
        <w:trPr>
          <w:trHeight w:val="20"/>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September 30, 2026, the total estimated fair value of the 2029 Notes was approximately $1.4 billion. The fair value was determined based on the closing trading price or quoted market price per $100 of the 2029 Notes as of the last day of trading for the period. The fair value of the 2029 Notes is primarily affected by the trading price of the Company’s Class A common stock and market interest rates and has been classified as Level 2 in the fair value hierarchy.</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Issuance costs were being amortized to interest expense over the contractual terms of the 2025 Notes at an effective interest rate of 0.59%. Issuance costs are being amortized to interest expense over the contractual terms of the 2029 Notes at an effective interest rate of 0.43%.</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interest expense related to the 2025 and 2029 Notes for the three and nine months ended September 30, 2026 and 2025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6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3"/>
                <w:szCs w:val="13"/>
                <w:color w:val="auto"/>
              </w:rPr>
            </w:pPr>
          </w:p>
        </w:tc>
      </w:tr>
      <w:tr>
        <w:trPr>
          <w:trHeight w:val="195"/>
        </w:trPr>
        <w:tc>
          <w:tcPr>
            <w:tcW w:w="42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r>
      <w:tr>
        <w:trPr>
          <w:trHeight w:val="195"/>
        </w:trPr>
        <w:tc>
          <w:tcPr>
            <w:tcW w:w="42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w:t>
            </w:r>
          </w:p>
        </w:tc>
      </w:tr>
      <w:tr>
        <w:trPr>
          <w:trHeight w:val="248"/>
        </w:trPr>
        <w:tc>
          <w:tcPr>
            <w:tcW w:w="4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2029 Notes, the Company entered into privately negotiated capped call transactions with certain option counterparties (the “Capped Calls”). The initial strike price of each of the Capped Calls corresponds to the initial conversion price of the 2029 Notes. The Capped Calls are expected to partially offset the potential dilution to the Company’s Class A common stock upon any conversion of the 2029 Notes, with such offset subject to a cap based on the cap price. For accounting purposes, the Capped Calls are separate transactions, and not part of the 2029 Notes. As these transactions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meet certain accounting criteria, the Capped Calls are recorded in stockholders’ equity and are not accounted for as derivatives. The cost incurred to purchase the Capped Calls was recorded as a reduction to additional paid-in capital and will not be remeasured.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key terms and costs incurred for the Capped Calls related to the 2029 Notes (in millions, except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2029 Notes</w:t>
            </w:r>
          </w:p>
        </w:tc>
      </w:tr>
      <w:tr>
        <w:trPr>
          <w:trHeight w:val="23"/>
        </w:trPr>
        <w:tc>
          <w:tcPr>
            <w:tcW w:w="9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strike price per share, subject to certain adjustments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217.60</w:t>
            </w:r>
          </w:p>
        </w:tc>
      </w:tr>
      <w:tr>
        <w:trPr>
          <w:trHeight w:val="229"/>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cap price per share, subject to certain adjustments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322.38</w:t>
            </w:r>
          </w:p>
        </w:tc>
      </w:tr>
      <w:tr>
        <w:trPr>
          <w:trHeight w:val="23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cost incurred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34"/>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covered, subject to anti-dilution adjustments</w:t>
            </w:r>
          </w:p>
        </w:tc>
        <w:tc>
          <w:tcPr>
            <w:tcW w:w="4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2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maturity of the 2025 Notes, the Company issued 1,354,569 shares to holders of the 2025 Notes that converted prior to maturity and received 1,360,738 shares from the relevant option counterparties upon settlement of the Capped Calls relating to the 2025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Non-cancelable Material Commitments—</w:t>
      </w:r>
      <w:r>
        <w:rPr>
          <w:rFonts w:ascii="Times New Roman" w:cs="Times New Roman" w:eastAsia="Times New Roman" w:hAnsi="Times New Roman"/>
          <w:sz w:val="18"/>
          <w:szCs w:val="18"/>
          <w:color w:val="auto"/>
        </w:rPr>
        <w:t>During the nine months ended September 30, 2026, other than certain non-cancelable operating leases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described in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there have been no other material changes outside the ordinary course of business to the Company’s contractual obligations and commitments from those disclosed in the Annual Report.</w:t>
      </w:r>
    </w:p>
    <w:p>
      <w:pPr>
        <w:spacing w:after="0" w:line="171"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401(k) Plan</w:t>
      </w:r>
      <w:r>
        <w:rPr>
          <w:rFonts w:ascii="Times New Roman" w:cs="Times New Roman" w:eastAsia="Times New Roman" w:hAnsi="Times New Roman"/>
          <w:sz w:val="18"/>
          <w:szCs w:val="18"/>
          <w:color w:val="auto"/>
        </w:rPr>
        <w:t>—The Company sponsors a 401(k) defined contribution plan covering all eligible U.S. employees. The Company is responsible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costs of the 401(k) plan and makes matching contributions to the 401(k) plan. For the three and nine months ended September 30, 2026, the Company incurred expense of $2.6 million and $7.7 million, respectively, for matching contributions. For the three and nine months ended September 30, 2025, the Company incurred expense of $2.5 million and $7.1 million, respectively, for matching contributions.</w:t>
      </w:r>
    </w:p>
    <w:p>
      <w:pPr>
        <w:spacing w:after="0" w:line="1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Legal Matters</w:t>
      </w:r>
      <w:r>
        <w:rPr>
          <w:rFonts w:ascii="Times New Roman" w:cs="Times New Roman" w:eastAsia="Times New Roman" w:hAnsi="Times New Roman"/>
          <w:sz w:val="18"/>
          <w:szCs w:val="18"/>
          <w:color w:val="auto"/>
        </w:rPr>
        <w:t>—The Company is involved from time to time in various claims and legal actions arising in the ordinary course of business. While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not feasible to predict or determine the ultimate outcome of these matters, the Company believes that none of its current legal proceedings will have a material adverse effect on its financial position or results of operations.</w:t>
      </w:r>
    </w:p>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Indemnification</w:t>
      </w:r>
      <w:r>
        <w:rPr>
          <w:rFonts w:ascii="Times New Roman" w:cs="Times New Roman" w:eastAsia="Times New Roman" w:hAnsi="Times New Roman"/>
          <w:sz w:val="18"/>
          <w:szCs w:val="18"/>
          <w:color w:val="auto"/>
        </w:rPr>
        <w:t>—The Company enters into indemnification provisions under some agreements with other parties in the ordinary course of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condensed consolidated statements of operations in connection with the indemnification provisions have not been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leases for its facilities expiring between 2026 and 2036. Certain lease agreements contain an option for the Company to renew a lease for a term of up to three years or an option to terminate a lease early within one year. The Company considers these options, which may be elected at the Company’s sole discretion, in determining the lease term on a lease-by-lease basis.</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Lease expense for these leases is recognized on a straight-line basis over the lease term, with variable lease payments recognized in the period those payments are incurred.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cost recognized within the Company’s condensed consolidated statements of operations were as follows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56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6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43,989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40,729</w:t>
            </w:r>
          </w:p>
        </w:tc>
      </w:t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14,643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0369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22" w:lineRule="exact"/>
        <w:rPr>
          <w:sz w:val="20"/>
          <w:szCs w:val="20"/>
          <w:color w:val="auto"/>
        </w:rPr>
      </w:pPr>
    </w:p>
    <w:p>
      <w:pPr>
        <w:ind w:left="340" w:right="220" w:hanging="332"/>
        <w:spacing w:after="0" w:line="302" w:lineRule="auto"/>
        <w:tabs>
          <w:tab w:leader="none" w:pos="33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non-cash lease expense of $9.7 million and $9.1 million for the three months ended September 30, 2026 and 2025, respectively, and $28.3 million and $26.5 million for the nine months ended September 30, 2026 and 2025, respectively.</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the Company’s operating leases are as follows (in thousands):</w:t>
      </w:r>
    </w:p>
    <w:p>
      <w:pPr>
        <w:spacing w:after="0" w:line="12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22,678</w:t>
            </w: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new lease liabilities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70,174</w:t>
            </w:r>
          </w:p>
        </w:tc>
      </w:tr>
      <w:tr>
        <w:trPr>
          <w:trHeight w:val="522"/>
        </w:trPr>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Maturities of lease liabilities by fiscal year for the Company’s operating leases are as follows (in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1"/>
        </w:trPr>
        <w:tc>
          <w:tcPr>
            <w:tcW w:w="8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16,772</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65,373</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58,790</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56,519</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54,818</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151,773</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404,045</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(83,406)</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320,639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 had various operating leases that had not yet commenced, which are excluded from the table above. The operating leases will commence between fiscal years 2026 and 2027 with total undiscounted future payments of $321.3 million and a weighted-average lease term of 9.0 years.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for the Company’s operating leases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4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4480" w:type="dxa"/>
            <w:vAlign w:val="bottom"/>
          </w:tcPr>
          <w:p>
            <w:pPr>
              <w:spacing w:after="0"/>
              <w:rPr>
                <w:sz w:val="16"/>
                <w:szCs w:val="16"/>
                <w:color w:val="auto"/>
              </w:rPr>
            </w:pPr>
          </w:p>
        </w:tc>
        <w:tc>
          <w:tcPr>
            <w:tcW w:w="6760" w:type="dxa"/>
            <w:vAlign w:val="bottom"/>
            <w:gridSpan w:val="2"/>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8"/>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52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6.73 %</w:t>
            </w:r>
          </w:p>
        </w:tc>
      </w:tr>
      <w:tr>
        <w:trPr>
          <w:trHeight w:val="859"/>
        </w:trPr>
        <w:tc>
          <w:tcPr>
            <w:tcW w:w="4480" w:type="dxa"/>
            <w:vAlign w:val="bottom"/>
          </w:tcPr>
          <w:p>
            <w:pPr>
              <w:spacing w:after="0"/>
              <w:rPr>
                <w:sz w:val="24"/>
                <w:szCs w:val="24"/>
                <w:color w:val="auto"/>
              </w:rPr>
            </w:pPr>
          </w:p>
        </w:tc>
        <w:tc>
          <w:tcPr>
            <w:tcW w:w="5280" w:type="dxa"/>
            <w:vAlign w:val="bottom"/>
          </w:tcPr>
          <w:p>
            <w:pPr>
              <w:jc w:val="right"/>
              <w:ind w:right="3956"/>
              <w:spacing w:after="0"/>
              <w:rPr>
                <w:sz w:val="20"/>
                <w:szCs w:val="20"/>
                <w:color w:val="auto"/>
              </w:rPr>
            </w:pPr>
            <w:r>
              <w:rPr>
                <w:rFonts w:ascii="Times New Roman" w:cs="Times New Roman" w:eastAsia="Times New Roman" w:hAnsi="Times New Roman"/>
                <w:sz w:val="18"/>
                <w:szCs w:val="18"/>
                <w:color w:val="auto"/>
              </w:rPr>
              <w:t>18</w:t>
            </w:r>
          </w:p>
        </w:tc>
        <w:tc>
          <w:tcPr>
            <w:tcW w:w="148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11.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Geographical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location is determined by the billing address of the customer. The following table sets forth revenue by geographic area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55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5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633,924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2,429,953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1,754,428</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315,729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251,727</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895,017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719,536</w:t>
            </w:r>
          </w:p>
        </w:tc>
      </w:tr>
      <w:tr>
        <w:trPr>
          <w:trHeight w:val="248"/>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885,651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3,324,970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2,473,964</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0369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22" w:lineRule="exact"/>
        <w:rPr>
          <w:sz w:val="20"/>
          <w:szCs w:val="20"/>
          <w:color w:val="auto"/>
        </w:rPr>
      </w:pPr>
    </w:p>
    <w:p>
      <w:pPr>
        <w:ind w:left="340" w:right="280" w:hanging="332"/>
        <w:spacing w:after="0" w:line="282" w:lineRule="auto"/>
        <w:tabs>
          <w:tab w:leader="none" w:pos="33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 from the United States of $844.6 million and $605.3 million for the three months ended September 30, 2026 and 2025, respectively, and $2,327.4 million and $1,673.4 million for the nine months ended September 30, 2026 and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76" w:lineRule="exact"/>
        <w:rPr>
          <w:sz w:val="20"/>
          <w:szCs w:val="20"/>
          <w:color w:val="auto"/>
        </w:rPr>
      </w:pPr>
    </w:p>
    <w:p>
      <w:pPr>
        <w:jc w:val="both"/>
        <w:ind w:firstLine="486"/>
        <w:spacing w:after="0" w:line="289" w:lineRule="auto"/>
        <w:rPr>
          <w:sz w:val="20"/>
          <w:szCs w:val="20"/>
          <w:color w:val="auto"/>
        </w:rPr>
      </w:pPr>
      <w:r>
        <w:rPr>
          <w:rFonts w:ascii="Times New Roman" w:cs="Times New Roman" w:eastAsia="Times New Roman" w:hAnsi="Times New Roman"/>
          <w:sz w:val="17"/>
          <w:szCs w:val="17"/>
          <w:color w:val="auto"/>
        </w:rPr>
        <w:t>Revenue recognized during the three months ended September 30, 2026 and 2025, which was included in the deferred revenue balances at the beginning of each such period, was $651.7 million and $459.3 million, respectively. Revenue recognized during the nine months ended September 30, 2026 and 2025, which was included in the deferred revenue balances at the beginning of each such period, was $1,107.5 million and $870.8 million, respectively.</w:t>
      </w:r>
    </w:p>
    <w:p>
      <w:pPr>
        <w:spacing w:after="0" w:line="15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September 30, 2026 and December 31, 2025, the aggregate transaction price allocated to remaining performance obligations was $3,847.7 million and $3,461.2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Accounts receivable deemed uncollectible are written off against the allowance for credit losses when identified. During the nine months ended September 30, 2026 and 2025, the Company charged $9.6 million and $10.6 million, respectively, of accounts receivable deemed uncollectible against the allowance for credit losses.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Unbilled accounts receivable represents revenue recognized on contracts for which billings have not yet been presented to customers because the amounts were earned but not contractually billable as of the balance sheet date. The unbilled accounts receivable balance is due within one year. As of September 30, 2026 and December 31, 2025, unbilled accounts receivable of approximately $169.9 million and $127.0 million, respectively, was included in accounts receivable on the Company’s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commissions earned by the Company’s sales force are considered incremental and recoverable costs of obtaining a contract with a customer. These costs are deferred and then amortized over a period of benefit, which is determined to be four years. Amounts expected to be recognized within one year of the balance sheet date are recorded as deferred contract costs, current; the remaining portion is recorded as deferred contract costs, non-current, in the condensed consolidated balance sheets.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Deferred contract costs on the Company’s condensed consolidated balance sheets were $252.7 million and $202.7 million as of September 30, 2026 and December 31, 2025, respectively. Amortization expense was $23.8 million and $17.3</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million for the three months ended September 30, 2026 and 2025, respectively, and $66.2 million and $48.1 million for the nine months ended September 30, 2026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Class B Common Stock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to Class A common stock upon sale or transfer, subject to certain limited exceptions.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2026, 823,116 shares and 1,999,080 shares of Class B common stock were converted into Class A common stock.</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 had authorized 2,000,000,000 shares of Class A common stock and 310,000,000 shares of Class B common stock, each with a par value of $0.00001 per share, of which 337,209,238 shares of Class A common stock and 23,813,898 shares of Class B common stock were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has two equity incentive plans, the 2012 Equity Incentive Plan (the “2012 Plan”) and the 2019 Equity Incentive Plan (the “2019 Plan”). In connection with the Company’s initial public offering of Class A common stock (the “IPO”), the Company ceased granting awards under the 2012 Plan, and all shares that remained available for issuance under the 2012 Plan at that time were transferred to the 2019 Plan. Additionally, as of September 30, 2026, there were 1,292,552 shares of Class A common stock issuable upon conversion of Class B common stock underlying options outstanding under the 2012 Plan. Under the 2019 Plan, the Board and any committee or subcommittee of the Board may grant stock options, stock appreciation rights, restricted stock, restricted stock units (“RSUs”) and performance stock units (“PSUs”) and other awards, each equity award valued or based on the Company’s Class A common stock, to employees, directors, consultants and advisors of the Company. As of September 30, 2026, there were 105,568,600 shares available for grant under the 2019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and weighted-average exercise prices: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5"/>
        </w:trPr>
        <w:tc>
          <w:tcPr>
            <w:tcW w:w="5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56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56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190"/>
        </w:trPr>
        <w:tc>
          <w:tcPr>
            <w:tcW w:w="56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6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56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2025</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3,474,619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447,294</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(2,167,724)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8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Balance—September 30, 2026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1,306,895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347,282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204"/>
        </w:trPr>
        <w:tc>
          <w:tcPr>
            <w:tcW w:w="56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Exercisable—September 30, 2026</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1,306,895</w:t>
            </w:r>
          </w:p>
        </w:tc>
        <w:tc>
          <w:tcPr>
            <w:tcW w:w="28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347,282</w:t>
            </w:r>
          </w:p>
        </w:tc>
      </w:tr>
      <w:tr>
        <w:trPr>
          <w:trHeight w:val="20"/>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2026, there were 14,343 shares of Class A common stock and 1,292,552 shares of Class B common stock issuable upon the exercise of options outstanding. As of December 31, 2025, there were 14,452 shares of Class A common stock and 3,460,167 shares of Class B common stock issuable upon the exercise of options outstanding.</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options granted during the nine months ended September 30, 2026 and 2025. The Company received approximately $14.6 million and $4.6 million in cash proceeds from options exercised during the nine months ended September 30, 2026 and 2025, respectively. The intrinsic value of options exercised during the nine months ended September 30, 2026 and 2025 was approximately $315.1 million and $372.0 million, respectively.</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Restricted Stock and Performance Stock Units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for the Company’s unvested RSUs and PSUs: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76"/>
        </w:trPr>
        <w:tc>
          <w:tcPr>
            <w:tcW w:w="7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Average Grant Date</w:t>
            </w:r>
          </w:p>
        </w:tc>
      </w:tr>
      <w:tr>
        <w:trPr>
          <w:trHeight w:val="190"/>
        </w:trPr>
        <w:tc>
          <w:tcPr>
            <w:tcW w:w="7640" w:type="dxa"/>
            <w:vAlign w:val="bottom"/>
          </w:tcPr>
          <w:p>
            <w:pPr>
              <w:spacing w:after="0"/>
              <w:rPr>
                <w:sz w:val="16"/>
                <w:szCs w:val="16"/>
                <w:color w:val="auto"/>
              </w:rPr>
            </w:pPr>
          </w:p>
        </w:tc>
        <w:tc>
          <w:tcPr>
            <w:tcW w:w="15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37"/>
        </w:trPr>
        <w:tc>
          <w:tcPr>
            <w:tcW w:w="76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3"/>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balance as of December 31, 2025</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16,700,043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6,156,130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161.07</w:t>
            </w:r>
          </w:p>
        </w:tc>
      </w:tr>
      <w:tr>
        <w:trPr>
          <w:trHeight w:val="27"/>
        </w:trPr>
        <w:tc>
          <w:tcPr>
            <w:tcW w:w="7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114.36</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Forfeited/cancelled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(1,209,222)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131.60</w:t>
            </w:r>
          </w:p>
        </w:tc>
      </w:tr>
      <w:tr>
        <w:trPr>
          <w:trHeight w:val="27"/>
        </w:trPr>
        <w:tc>
          <w:tcPr>
            <w:tcW w:w="76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8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balance as of September 30,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16,346,867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granted 796,509 restricted shares of Class A common stock in connection with acquisitions during the period, 23,839 restricted shares in connection with acquisitions in prior periods, and cancelled 45,961 restricted shares previously granted.</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compensation cost related to unvested RSUs and restricted shares of common stock not yet recognized was approximately $2,016.8 million and $1,717.2 million as of September 30, 2026 and December 31, 2025, respectively. The weighted-average period over which this compensation cost related to unvested RSUs and restricted shares of common stock will be recognized is 2.8 years and 2.8 years as of September 30, 2026 and December 31, 2025, respectively.</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unvested PSUs not yet recognized was approximately $155.4 million and $82.8 million as of September 30, 2026 and December 31, 2025, respectively. The weighted-average period over which this compensation cost related to unvested PSUs will be recognized is 1.3 years and 1.3 years as of September 30, 2026 and December 31,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September 2019, the Board adopted and approved the 2019 Employee Stock Purchase Plan (the “ESPP”).</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Historically offering periods have been approximately 6 months.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recognized $7.9 million and $22.3 million of stock-based compensation expense related to the ESPP during the three and nine months ended September 30, 2026. As of September 30, 2026, $34.1 million has been withheld on behalf of employees for a future purchase under the ESPP due to the timing of payroll deductions. During the nine months ended September 30, 2026, the Company issued 254,970 shares of Class A common stock under the ESPP. As of September 30, 2026, 26,464,738 shares of Class A common stock remain available for grant under the ESPP.</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recognizes and measures compensation expense for all stock-based payment awards granted to employees, directors and nonemployees, including stock options, restricted stock units (“RSUs”), performance-based awards (“PSUs”), and the employee stock purchase plan (the “ESPP”) based on the fair value of the awards on the date of grant.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and PSUs is determined by the closing price on the date of grant of the Company’s Class A common stock, as reported on the Nasdaq Global Select Market. The Company estimates the fair value of the rights to acquire stock under the ESPP using the Black-Scholes option-pricing model. Stock-based compensation for stock options and RSUs is recognized on a straight-line basis over the requisite service period and account for forfeitures as they occur. Stock-based compensation for PSUs is amortized under the accelerated attribution method and may be adjusted over the vesting period based on interim estimates of performance against pre-set objectives. PSUs will vest upon achievement of specified performance targets and subject to continuous service through the applicable vesting dates. The compensation cost is recognized over the requisite service period when it is probable that the performance condition will be satisfied and the Company accounts for forfeitures as they occur.</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also has certain options that have performance-based vesting conditions; stock-based compensation expense for such awards is recognized on a straight-line basis from the time the vesting condition is likely to be met through the time the vesting condition has been achieved.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Stock-based compensation expense was included in the condensed consolidated statement of operations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238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r>
      <w:tr>
        <w:trPr>
          <w:trHeight w:val="51"/>
        </w:trPr>
        <w:tc>
          <w:tcPr>
            <w:tcW w:w="56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186"/>
        </w:trPr>
        <w:tc>
          <w:tcPr>
            <w:tcW w:w="5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6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44"/>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21,472</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342,468</w:t>
            </w:r>
          </w:p>
        </w:tc>
      </w:tr>
      <w:tr>
        <w:trPr>
          <w:trHeight w:val="27"/>
        </w:trPr>
        <w:tc>
          <w:tcPr>
            <w:tcW w:w="5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113,030</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68,315</w:t>
            </w:r>
          </w:p>
        </w:tc>
      </w:tr>
      <w:tr>
        <w:trPr>
          <w:trHeight w:val="27"/>
        </w:trPr>
        <w:tc>
          <w:tcPr>
            <w:tcW w:w="5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3"/>
        </w:trPr>
        <w:tc>
          <w:tcPr>
            <w:tcW w:w="5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net of amounts capitalized</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237,181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654,274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545,285</w:t>
            </w:r>
          </w:p>
        </w:tc>
      </w:tr>
      <w:tr>
        <w:trPr>
          <w:trHeight w:val="237"/>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15,363</w:t>
            </w:r>
          </w:p>
        </w:tc>
      </w:tr>
      <w:tr>
        <w:trPr>
          <w:trHeight w:val="27"/>
        </w:trPr>
        <w:tc>
          <w:tcPr>
            <w:tcW w:w="5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9"/>
        </w:trPr>
        <w:tc>
          <w:tcPr>
            <w:tcW w:w="5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242,336</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204,302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675,500</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560,648</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Interest Income and Other Income,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and other income, net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4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37"/>
        </w:trPr>
        <w:tc>
          <w:tcPr>
            <w:tcW w:w="56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6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45,615</w:t>
            </w:r>
          </w:p>
        </w:tc>
        <w:tc>
          <w:tcPr>
            <w:tcW w:w="4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152,532</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147,095</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(11,356)</w:t>
            </w: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43,897</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157,363</w:t>
            </w:r>
          </w:p>
        </w:tc>
        <w:tc>
          <w:tcPr>
            <w:tcW w:w="12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135,739</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recorded a provision for income taxes of $6.3 million and $1.8 million for the three months ended September 30, 2026 and 2025, respectively, and a provision for income taxes of $19.8 million and $12.4 million for the nine months ended September 30, 2026 and 2025, respectively. The Company has generated U.S. operating income and has minimal profits in its foreign jurisdictions during the quarter.</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effective tax rate was 8.41% and 16.83% for the nine months ended September 30, 2026 and 2025, respectively. The effective tax rate differs from the U.S. federal statutory rate primarily due to the impact of a full valuation</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23" w:name="page24"/>
    <w:bookmarkEnd w:id="2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allowance on U.S. deferred tax assets, the favorable effects of the One Big Beautiful Bill Act (“OBBBA”), and withholding taxes in certain foreign jurisdictions.</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applied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and has determined that it has uncertain positions that would result in a tax reserve for each of the nine months ended September 30, 2026 and 2025. There were no material changes to the Company's unrecognized tax benefits during the nine months ended September 30, 2026. The Company’s policy is to recognize interest and penalties related to uncertain income tax positions in income tax expense. The Company is subject to U.S. federal tax authority, U.S. state tax authority and foreign tax authority examinations.</w:t>
      </w:r>
    </w:p>
    <w:p>
      <w:pPr>
        <w:spacing w:after="0" w:line="18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is subject to tax laws in the United States and numerous foreign jurisdictions. The United States and many international legislative and regulatory bodies continually propose and enact legislation that could significantly impact how U.S. multinational corporations are taxed. The Company is closely monitoring proposed legislation and its potential impact.</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On July 4, 2025, the One Big Beautiful Bill Act (“OBBBA”) was enacted in the United States. The OBBBA permanently extends certain provisions of the Tax Cuts and Jobs Act, including 100% bonus depreciation for certain qualified property, and reverses the requirement to capitalize and amortize domestic research and experimentation (“R&amp;E”) expenses. As a result, for tax years beginning after December 31, 2024, taxpayers may deduct such expenses in the year incurred. The legislation also introduced an election to accelerate any unamortized domestic R&amp;E expenditures over a one- or two-year period beginning with the 2025 tax year and includes modifications to the international tax framework. Future guidance from the Internal Revenue Service and other tax authorities with respect to such legislation may affect us, and certain aspects thereof could be repealed or modified in future legislation. In accordance with ASC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the Company has reflected the effects of the OBBBA in its financial statements for the quarter ended September 30, 2026. The enactment of the OBBBA reduced the Company’s forecasted U.S. income tax expense for 2026. The legislation did not impact the Company’s U.S. net deferred tax assets or liabilities, as a full valuation allowance continues to be maintained against those balances.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Income Per Share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Basic and diluted net income per common share is presented in conformity with the two-class method required for participating securities. Basic and diluted net income per share is computed using the weighted-average number of shares of common stock outstanding during the period. The undistributed earnings are allocated based on the contractual participation rights of the Class A and Class B common stock as if the earnings for the year have been distributed. As the liquidation and dividend rights are identical, the undistributed earnings are allocated on a proportionate basis. Further, as the conversion of Class B common stock is assumed in the computation of the diluted net income per share of Class A common stock, the undistributed earnings are equal to net income for that computation.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4" w:name="page25"/>
    <w:bookmarkEnd w:id="24"/>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per share (in thousands, except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0"/>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50"/>
        </w:trPr>
        <w:tc>
          <w:tcPr>
            <w:tcW w:w="27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3"/>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3"/>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186"/>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6"/>
                <w:szCs w:val="16"/>
                <w:color w:val="auto"/>
              </w:rPr>
            </w:pPr>
          </w:p>
        </w:tc>
      </w:tr>
      <w:tr>
        <w:trPr>
          <w:trHeight w:val="37"/>
        </w:trPr>
        <w:tc>
          <w:tcPr>
            <w:tcW w:w="27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213"/>
        </w:trPr>
        <w:tc>
          <w:tcPr>
            <w:tcW w:w="2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53"/>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110,369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7,947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31,408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200,574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56,648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4,526</w:t>
            </w:r>
          </w:p>
        </w:tc>
      </w:tr>
      <w:tr>
        <w:trPr>
          <w:trHeight w:val="233"/>
        </w:trPr>
        <w:tc>
          <w:tcPr>
            <w:tcW w:w="2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Denominator:</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2"/>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Weighted-average shares used in</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3"/>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calculating net income per share, basic</w:t>
            </w: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334,531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24,086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323,159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331,485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320,410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25,602</w:t>
            </w:r>
          </w:p>
        </w:tc>
      </w:tr>
      <w:tr>
        <w:trPr>
          <w:trHeight w:val="230"/>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0.18</w:t>
            </w: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9"/>
        </w:trPr>
        <w:tc>
          <w:tcPr>
            <w:tcW w:w="2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bl>
    <w:p>
      <w:pPr>
        <w:spacing w:after="0" w:line="13" w:lineRule="exact"/>
        <w:rPr>
          <w:sz w:val="20"/>
          <w:szCs w:val="20"/>
          <w:color w:val="auto"/>
        </w:rPr>
      </w:pPr>
    </w:p>
    <w:p>
      <w:pPr>
        <w:sectPr>
          <w:pgSz w:w="11900" w:h="16838" w:orient="portrait"/>
          <w:cols w:equalWidth="0" w:num="1">
            <w:col w:w="11240"/>
          </w:cols>
          <w:pgMar w:left="320" w:top="1309"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p>
      <w:pPr>
        <w:spacing w:after="0" w:line="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Numerator:</w:t>
      </w:r>
    </w:p>
    <w:p>
      <w:pPr>
        <w:spacing w:after="0" w:line="59" w:lineRule="exact"/>
        <w:rPr>
          <w:sz w:val="20"/>
          <w:szCs w:val="20"/>
          <w:color w:val="auto"/>
        </w:rPr>
      </w:pPr>
    </w:p>
    <w:p>
      <w:pPr>
        <w:ind w:left="360"/>
        <w:spacing w:after="0" w:line="290" w:lineRule="auto"/>
        <w:rPr>
          <w:sz w:val="20"/>
          <w:szCs w:val="20"/>
          <w:color w:val="auto"/>
        </w:rPr>
      </w:pPr>
      <w:r>
        <w:rPr>
          <w:rFonts w:ascii="Times New Roman" w:cs="Times New Roman" w:eastAsia="Times New Roman" w:hAnsi="Times New Roman"/>
          <w:sz w:val="16"/>
          <w:szCs w:val="16"/>
          <w:color w:val="auto"/>
        </w:rPr>
        <w:t>Allocation of distributed income, net of interest expense and related tax $</w:t>
      </w:r>
    </w:p>
    <w:p>
      <w:pPr>
        <w:spacing w:after="0" w:line="1" w:lineRule="exact"/>
        <w:rPr>
          <w:sz w:val="20"/>
          <w:szCs w:val="20"/>
          <w:color w:val="auto"/>
        </w:rPr>
      </w:pPr>
    </w:p>
    <w:p>
      <w:pPr>
        <w:ind w:left="360" w:right="240"/>
        <w:spacing w:after="0" w:line="263" w:lineRule="auto"/>
        <w:rPr>
          <w:sz w:val="20"/>
          <w:szCs w:val="20"/>
          <w:color w:val="auto"/>
        </w:rPr>
      </w:pPr>
      <w:r>
        <w:rPr>
          <w:rFonts w:ascii="Times New Roman" w:cs="Times New Roman" w:eastAsia="Times New Roman" w:hAnsi="Times New Roman"/>
          <w:sz w:val="16"/>
          <w:szCs w:val="16"/>
          <w:color w:val="auto"/>
        </w:rPr>
        <w:t>Reallocation of undistributed net income as a result of conversion of Class B to Class A shares</w:t>
      </w:r>
    </w:p>
    <w:p>
      <w:pPr>
        <w:spacing w:after="0" w:line="43" w:lineRule="exact"/>
        <w:rPr>
          <w:sz w:val="20"/>
          <w:szCs w:val="20"/>
          <w:color w:val="auto"/>
        </w:rPr>
      </w:pPr>
    </w:p>
    <w:p>
      <w:pPr>
        <w:ind w:left="260"/>
        <w:spacing w:after="0"/>
        <w:tabs>
          <w:tab w:leader="none" w:pos="2760" w:val="left"/>
        </w:tabs>
        <w:rPr>
          <w:sz w:val="20"/>
          <w:szCs w:val="20"/>
          <w:color w:val="auto"/>
        </w:rPr>
      </w:pPr>
      <w:r>
        <w:rPr>
          <w:rFonts w:ascii="Times New Roman" w:cs="Times New Roman" w:eastAsia="Times New Roman" w:hAnsi="Times New Roman"/>
          <w:sz w:val="16"/>
          <w:szCs w:val="16"/>
          <w:color w:val="auto"/>
        </w:rPr>
        <w:t>Allocation of undistributed income</w:t>
        <w:tab/>
        <w:t>$</w:t>
      </w:r>
    </w:p>
    <w:p>
      <w:pPr>
        <w:spacing w:after="0" w:line="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Denominator:</w:t>
      </w:r>
    </w:p>
    <w:p>
      <w:pPr>
        <w:spacing w:after="0" w:line="59" w:lineRule="exact"/>
        <w:rPr>
          <w:sz w:val="20"/>
          <w:szCs w:val="20"/>
          <w:color w:val="auto"/>
        </w:rPr>
      </w:pPr>
    </w:p>
    <w:p>
      <w:pPr>
        <w:ind w:left="180" w:right="640"/>
        <w:spacing w:after="0" w:line="280" w:lineRule="auto"/>
        <w:rPr>
          <w:sz w:val="20"/>
          <w:szCs w:val="20"/>
          <w:color w:val="auto"/>
        </w:rPr>
      </w:pPr>
      <w:r>
        <w:rPr>
          <w:rFonts w:ascii="Times New Roman" w:cs="Times New Roman" w:eastAsia="Times New Roman" w:hAnsi="Times New Roman"/>
          <w:sz w:val="16"/>
          <w:szCs w:val="16"/>
          <w:color w:val="auto"/>
        </w:rPr>
        <w:t>Number of shares used in basic calculation</w:t>
      </w:r>
    </w:p>
    <w:p>
      <w:pPr>
        <w:spacing w:after="0" w:line="16" w:lineRule="exact"/>
        <w:rPr>
          <w:sz w:val="20"/>
          <w:szCs w:val="20"/>
          <w:color w:val="auto"/>
        </w:rPr>
      </w:pPr>
    </w:p>
    <w:p>
      <w:pPr>
        <w:ind w:left="140" w:right="460"/>
        <w:spacing w:after="0" w:line="280" w:lineRule="auto"/>
        <w:rPr>
          <w:sz w:val="20"/>
          <w:szCs w:val="20"/>
          <w:color w:val="auto"/>
        </w:rPr>
      </w:pPr>
      <w:r>
        <w:rPr>
          <w:rFonts w:ascii="Times New Roman" w:cs="Times New Roman" w:eastAsia="Times New Roman" w:hAnsi="Times New Roman"/>
          <w:sz w:val="16"/>
          <w:szCs w:val="16"/>
          <w:color w:val="auto"/>
        </w:rPr>
        <w:t>Weighted-average effect of diluted securities:</w:t>
      </w:r>
    </w:p>
    <w:p>
      <w:pPr>
        <w:spacing w:after="0" w:line="16" w:lineRule="exact"/>
        <w:rPr>
          <w:sz w:val="20"/>
          <w:szCs w:val="20"/>
          <w:color w:val="auto"/>
        </w:rPr>
      </w:pPr>
    </w:p>
    <w:p>
      <w:pPr>
        <w:ind w:left="360" w:right="340"/>
        <w:spacing w:after="0" w:line="280" w:lineRule="auto"/>
        <w:rPr>
          <w:sz w:val="20"/>
          <w:szCs w:val="20"/>
          <w:color w:val="auto"/>
        </w:rPr>
      </w:pPr>
      <w:r>
        <w:rPr>
          <w:rFonts w:ascii="Times New Roman" w:cs="Times New Roman" w:eastAsia="Times New Roman" w:hAnsi="Times New Roman"/>
          <w:sz w:val="16"/>
          <w:szCs w:val="16"/>
          <w:color w:val="auto"/>
        </w:rPr>
        <w:t>Conversion of Class B to Class A common shares outstanding</w:t>
      </w:r>
    </w:p>
    <w:p>
      <w:pPr>
        <w:spacing w:after="0" w:line="16" w:lineRule="exact"/>
        <w:rPr>
          <w:sz w:val="20"/>
          <w:szCs w:val="20"/>
          <w:color w:val="auto"/>
        </w:rPr>
      </w:pPr>
    </w:p>
    <w:p>
      <w:pPr>
        <w:ind w:left="360" w:right="540"/>
        <w:spacing w:after="0" w:line="316" w:lineRule="auto"/>
        <w:rPr>
          <w:sz w:val="20"/>
          <w:szCs w:val="20"/>
          <w:color w:val="auto"/>
        </w:rPr>
      </w:pPr>
      <w:r>
        <w:rPr>
          <w:rFonts w:ascii="Times New Roman" w:cs="Times New Roman" w:eastAsia="Times New Roman" w:hAnsi="Times New Roman"/>
          <w:sz w:val="16"/>
          <w:szCs w:val="16"/>
          <w:color w:val="auto"/>
        </w:rPr>
        <w:t>Employee stock options Employee stock purchase plan</w:t>
      </w:r>
    </w:p>
    <w:p>
      <w:pPr>
        <w:spacing w:after="0" w:line="2" w:lineRule="exact"/>
        <w:rPr>
          <w:sz w:val="20"/>
          <w:szCs w:val="20"/>
          <w:color w:val="auto"/>
        </w:rPr>
      </w:pPr>
    </w:p>
    <w:p>
      <w:pPr>
        <w:ind w:left="360" w:right="840"/>
        <w:spacing w:after="0" w:line="280" w:lineRule="auto"/>
        <w:rPr>
          <w:sz w:val="20"/>
          <w:szCs w:val="20"/>
          <w:color w:val="auto"/>
        </w:rPr>
      </w:pPr>
      <w:r>
        <w:rPr>
          <w:rFonts w:ascii="Times New Roman" w:cs="Times New Roman" w:eastAsia="Times New Roman" w:hAnsi="Times New Roman"/>
          <w:sz w:val="16"/>
          <w:szCs w:val="16"/>
          <w:color w:val="auto"/>
        </w:rPr>
        <w:t>Restricted stock units and performance stock units</w:t>
      </w:r>
    </w:p>
    <w:p>
      <w:pPr>
        <w:spacing w:after="0" w:line="16" w:lineRule="exact"/>
        <w:rPr>
          <w:sz w:val="20"/>
          <w:szCs w:val="20"/>
          <w:color w:val="auto"/>
        </w:rPr>
      </w:pPr>
    </w:p>
    <w:p>
      <w:pPr>
        <w:ind w:left="360" w:right="700"/>
        <w:spacing w:after="0" w:line="280" w:lineRule="auto"/>
        <w:rPr>
          <w:sz w:val="20"/>
          <w:szCs w:val="20"/>
          <w:color w:val="auto"/>
        </w:rPr>
      </w:pPr>
      <w:r>
        <w:rPr>
          <w:rFonts w:ascii="Times New Roman" w:cs="Times New Roman" w:eastAsia="Times New Roman" w:hAnsi="Times New Roman"/>
          <w:sz w:val="16"/>
          <w:szCs w:val="16"/>
          <w:color w:val="auto"/>
        </w:rPr>
        <w:t>Unvested restricted stock in connection with acquisition</w:t>
      </w:r>
    </w:p>
    <w:p>
      <w:pPr>
        <w:spacing w:after="0" w:line="16" w:lineRule="exact"/>
        <w:rPr>
          <w:sz w:val="20"/>
          <w:szCs w:val="20"/>
          <w:color w:val="auto"/>
        </w:rPr>
      </w:pPr>
    </w:p>
    <w:p>
      <w:pPr>
        <w:ind w:left="360" w:right="220"/>
        <w:spacing w:after="0" w:line="280" w:lineRule="auto"/>
        <w:rPr>
          <w:sz w:val="20"/>
          <w:szCs w:val="20"/>
          <w:color w:val="auto"/>
        </w:rPr>
      </w:pPr>
      <w:r>
        <w:rPr>
          <w:rFonts w:ascii="Times New Roman" w:cs="Times New Roman" w:eastAsia="Times New Roman" w:hAnsi="Times New Roman"/>
          <w:sz w:val="16"/>
          <w:szCs w:val="16"/>
          <w:color w:val="auto"/>
        </w:rPr>
        <w:t>Shares issuable upon conversion of the 2025 Notes</w:t>
      </w:r>
    </w:p>
    <w:p>
      <w:pPr>
        <w:spacing w:after="0" w:line="16" w:lineRule="exact"/>
        <w:rPr>
          <w:sz w:val="20"/>
          <w:szCs w:val="20"/>
          <w:color w:val="auto"/>
        </w:rPr>
      </w:pPr>
    </w:p>
    <w:p>
      <w:pPr>
        <w:ind w:left="360" w:right="220"/>
        <w:spacing w:after="0" w:line="280" w:lineRule="auto"/>
        <w:rPr>
          <w:sz w:val="20"/>
          <w:szCs w:val="20"/>
          <w:color w:val="auto"/>
        </w:rPr>
      </w:pPr>
      <w:r>
        <w:rPr>
          <w:rFonts w:ascii="Times New Roman" w:cs="Times New Roman" w:eastAsia="Times New Roman" w:hAnsi="Times New Roman"/>
          <w:sz w:val="16"/>
          <w:szCs w:val="16"/>
          <w:color w:val="auto"/>
        </w:rPr>
        <w:t>Shares issuable upon conversion of the 2029 Notes</w:t>
      </w:r>
    </w:p>
    <w:p>
      <w:pPr>
        <w:spacing w:after="0" w:line="16" w:lineRule="exact"/>
        <w:rPr>
          <w:sz w:val="20"/>
          <w:szCs w:val="20"/>
          <w:color w:val="auto"/>
        </w:rPr>
      </w:pPr>
    </w:p>
    <w:p>
      <w:pPr>
        <w:ind w:left="520" w:right="200"/>
        <w:spacing w:after="0" w:line="280" w:lineRule="auto"/>
        <w:rPr>
          <w:sz w:val="20"/>
          <w:szCs w:val="20"/>
          <w:color w:val="auto"/>
        </w:rPr>
      </w:pPr>
      <w:r>
        <w:rPr>
          <w:rFonts w:ascii="Times New Roman" w:cs="Times New Roman" w:eastAsia="Times New Roman" w:hAnsi="Times New Roman"/>
          <w:sz w:val="16"/>
          <w:szCs w:val="16"/>
          <w:color w:val="auto"/>
        </w:rPr>
        <w:t>Number of shares used in diluted calculation</w:t>
      </w:r>
    </w:p>
    <w:p>
      <w:pPr>
        <w:spacing w:after="0" w:line="30" w:lineRule="exact"/>
        <w:rPr>
          <w:sz w:val="20"/>
          <w:szCs w:val="20"/>
          <w:color w:val="auto"/>
        </w:rPr>
      </w:pPr>
    </w:p>
    <w:p>
      <w:pPr>
        <w:ind w:left="20"/>
        <w:spacing w:after="0"/>
        <w:tabs>
          <w:tab w:leader="none" w:pos="2760" w:val="left"/>
        </w:tabs>
        <w:rPr>
          <w:sz w:val="20"/>
          <w:szCs w:val="20"/>
          <w:color w:val="auto"/>
        </w:rPr>
      </w:pPr>
      <w:r>
        <w:rPr>
          <w:rFonts w:ascii="Times New Roman" w:cs="Times New Roman" w:eastAsia="Times New Roman" w:hAnsi="Times New Roman"/>
          <w:sz w:val="16"/>
          <w:szCs w:val="16"/>
          <w:color w:val="auto"/>
        </w:rPr>
        <w:t>Diluted net income per share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6"/>
              </w:rPr>
              <w:t>111,106</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202,773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59,385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w:t>
            </w:r>
          </w:p>
        </w:tc>
      </w:tr>
      <w:tr>
        <w:trPr>
          <w:trHeight w:val="647"/>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8,000</w:t>
            </w:r>
          </w:p>
        </w:tc>
        <w:tc>
          <w:tcPr>
            <w:tcW w:w="26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6"/>
              </w:rPr>
              <w:t>119,106</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34,672</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217,810</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15,037</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64,130</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4,745</w:t>
            </w:r>
          </w:p>
        </w:tc>
      </w:tr>
      <w:tr>
        <w:trPr>
          <w:trHeight w:val="27"/>
        </w:trPr>
        <w:tc>
          <w:tcPr>
            <w:tcW w:w="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636"/>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6"/>
              </w:rPr>
              <w:t>334,531</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323,159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331,485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320,410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25,602</w:t>
            </w:r>
          </w:p>
        </w:tc>
      </w:tr>
      <w:tr>
        <w:trPr>
          <w:trHeight w:val="891"/>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24,086</w:t>
            </w:r>
          </w:p>
        </w:tc>
        <w:tc>
          <w:tcPr>
            <w:tcW w:w="26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25,602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1,391</w:t>
            </w:r>
          </w:p>
        </w:tc>
        <w:tc>
          <w:tcPr>
            <w:tcW w:w="26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33</w:t>
            </w:r>
          </w:p>
        </w:tc>
        <w:tc>
          <w:tcPr>
            <w:tcW w:w="26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6"/>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9,687</w:t>
            </w:r>
          </w:p>
        </w:tc>
        <w:tc>
          <w:tcPr>
            <w:tcW w:w="26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5"/>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690</w:t>
            </w:r>
          </w:p>
        </w:tc>
        <w:tc>
          <w:tcPr>
            <w:tcW w:w="26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59"/>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8"/>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4,596</w:t>
            </w:r>
          </w:p>
        </w:tc>
        <w:tc>
          <w:tcPr>
            <w:tcW w:w="26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22"/>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6"/>
              </w:rPr>
              <w:t>375,014</w:t>
            </w:r>
          </w:p>
        </w:tc>
        <w:tc>
          <w:tcPr>
            <w:tcW w:w="26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24,086</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362,001</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25,486</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371,363</w:t>
            </w:r>
          </w:p>
        </w:tc>
        <w:tc>
          <w:tcPr>
            <w:tcW w:w="12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24,582</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361,905</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25,602</w:t>
            </w:r>
          </w:p>
        </w:tc>
      </w:tr>
      <w:tr>
        <w:trPr>
          <w:trHeight w:val="237"/>
        </w:trPr>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0.32</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r>
      <w:tr>
        <w:trPr>
          <w:trHeight w:val="27"/>
        </w:trPr>
        <w:tc>
          <w:tcPr>
            <w:tcW w:w="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-3942715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-3505200</wp:posOffset>
            </wp:positionV>
            <wp:extent cx="7132320" cy="35058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5058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340"/>
            <w:col w:w="8040"/>
          </w:cols>
          <w:pgMar w:left="320" w:top="1309" w:right="339" w:bottom="1440" w:gutter="0" w:footer="0" w:header="0"/>
          <w:type w:val="continuous"/>
        </w:sectPr>
      </w:pPr>
    </w:p>
    <w:p>
      <w:pPr>
        <w:spacing w:after="0" w:line="7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Potentially dilutive securities that were not included in the diluted per share calculations because they would be anti-dilutive were as follows (in thousands):</w:t>
      </w:r>
    </w:p>
    <w:p>
      <w:pPr>
        <w:spacing w:after="0" w:line="88"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41910</wp:posOffset>
            </wp:positionV>
            <wp:extent cx="17487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RSUs and PSUs</w:t>
            </w:r>
          </w:p>
        </w:tc>
        <w:tc>
          <w:tcPr>
            <w:tcW w:w="9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3"/>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
        </w:trPr>
        <w:tc>
          <w:tcPr>
            <w:tcW w:w="8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uses the if-converted method for calculating any potential dilutive effect of the conversion options embedded in the Notes on diluted net income per share.</w:t>
      </w:r>
    </w:p>
    <w:p>
      <w:pPr>
        <w:sectPr>
          <w:pgSz w:w="11900" w:h="16838" w:orient="portrait"/>
          <w:cols w:equalWidth="0" w:num="1">
            <w:col w:w="11240"/>
          </w:cols>
          <w:pgMar w:left="320" w:top="1309" w:right="3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25" w:name="page26"/>
    <w:bookmarkEnd w:id="25"/>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entered into Capped Calls in connection with the issuance of the Notes. The effect of the Capped Calls was excluded from the calculation of diluted net income per share as the effect of the Capped Calls would have been anti-dilutive. The Capped Calls are expected to partially offset the potential dilution to the Company’s Class A common stock upon any conversion of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Derivative 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derivative financial instruments consist of foreign currency forward contracts used to manage exposure to fluctuations in foreign currency exchange rates, which all have maturities of 12 months or less.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 had foreign currency forward contracts designated as cash flow hedges with total notional amounts of approximately $188.7 million. The notional amounts of derivative instruments represent the amount of foreign currency to be exchanged under the contracts and do not represent the Company’s exposure to credit or market risk.</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30, 2026, an estimated $3.2 million of net losses included in accumulated other comprehensive income (loss) is expected to be reclassified into earnings within the next 12 months. Cash flows from the settlement of these contracts are classified in the same category as the underlying hedged transactions. Refer to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xml:space="preserve"> and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2025, or the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Datadog is the AI-powered observability and security platform for cloud applications.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SaaS platform integrates and automates infrastructure monitoring, application performance monitoring, log management, user experience monitoring, cloud security, service management, and many other capabilities to provide unified, real-time observability and security for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September 30, 2026, we had $881.2 million in cash and cash equivalents and $4.4 billion in marketable securities. We generated revenue of $1.2 billion and $885.7 million in the three months ended September 30, 2026 and 2025, respectively, representing year-over-year growth of 35%. For the nine months ended September 30, 2026 and 2025, our revenue was $3.3 billion and $2.5 billion, respectively, representing year-over-year growth of 34%. Substantially all of our revenue is from subscription software sales. While we have continued to make significant expenditures and investments, including in personnel-related costs, sales and marketing, infrastructure and operations, we generated net income of $118.3 million and $33.9 million for the three months ended September 30, 2026 and 2025, respectively, and $215.4 million and $61.2 million for the nine months ended September 30, 2026 and 2025, respectively. Our operating cash flow was $940.4 million and $723.1 million for the nine months ended September 30, 2026 and 2025, respectively. Our free cash flow was $818.4 million and $623.7 million for the nine months ended September 30, 2026 and 2025, respectively. See the section titled “— Liquidity and Capital Resources—Non-GAAP Free Cash Flow” below.</w:t>
      </w:r>
    </w:p>
    <w:p>
      <w:pPr>
        <w:spacing w:after="0" w:line="18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Unfavorable conditions in the economy both in the United States and abroad may negatively affect the growth of our business and our results of operations. For example, macroeconomic events including changes in trade policies, such as trade wars, tariffs or other trade restrictions or the threat of such actions, fluctuating inflation and interest rates, and the conflicts in Ukraine and the Middle East have led to economic uncertainty. Historically, during periods of economic uncertainty and downturns, businesses may slow spending on information technology, which may impact our business and our customers’ businesses.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Due to our subscription model, the effect of macroeconomic conditions may not be fully reflected in our results of operations until future periods. However, if economic uncertainty increases or the global economy worsens, our business, financial condition and results of operations may be harmed. For further discussion of the potential impacts of macroeconomic events on our business, financial condition, and operating results, see “Risk Factors” included in Part II, Item 1A of this report.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September 30, 2026, we had approximately 33,500 customers spanning organizations of a broad range of sizes and industries, compared to approximately 32,000 as of September 30, 2025. Our ability to attract new customers will depend on a number of factors, including the effectiveness and pricing of our products, offerings of our competitors and the effectiveness of our marketing efforts.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Within Our Existing Customer Base</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base of customers represents a significant opportunity for further sales expansion. As of September 30, 2026, we had approximately 4,860 customers with annual run-rate revenue, or ARR, of $100,000 or more, representing 91% of our ARR, up from 4,060 customers as of September 30, 2025, representing 89%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usage from subscriptions for a committed contractual amount of usage that is delivered as used and monthly subscriptions.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spacing w:after="0" w:line="18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 further indication of the propensity of our customer relationships to expand over time is our dollar-based net retention rate, which compares our ARR from the same set of customers in one period, relative to the year-ago period. As of September 30, 2026, our trailing 12-month dollar-based net retention rate was in the low-120%'s. As of September 30, 2025, our trailing 12-month dollar-based net retention rate was about 120%. The increase in our trailing 12-month dollar-based net retention rate was attributable to increased usage growth from existing customers. We saw a reduction in usage from our largest customer in the third quarter of 2026.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trailing 12-month dollar-based net retention rate.</w:t>
      </w:r>
    </w:p>
    <w:p>
      <w:pPr>
        <w:spacing w:after="0" w:line="19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Sustaining Innovation and Technology Leadership</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demonstrated the success of our platform approach, through expansion beyond our initial infrastructure monitoring solution to include over 20 products. Approximately 86% of our customers were using two or more products as of September 30, 2026, up from approximately 84% a year earlier. Additionally, as of September 30, 2026, approximately 61% of our customers were using four or more products, up from approximately 54% a year earlier, approximately 41% of our customers were using six or more products, up from 31% a year earlier, approximately 26% of our customers were using eight or more products, up from 16% a year earlier; and approximately 16% of our customers were using ten or more products, up from 8% a year earlier. We believe these metrics indicate strong expansion of product adoption across our platform.</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Internationally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there is a significant opportunity to expand usage of our platform outside of North America. Revenue, as determined based on the billing address of our customers, from regions outside of North America was approximately 27% and 29% of our total revenue for the nine months ended September 30, 2026 and 2025, respectively. In addition, we have made and plan to continue to make significant investments to expand geographically, particularly in EMEA and APAC. Although these investments may adversely affect our operating results in the near term, we believe that they will contribute to our long-term growth. Beyond North America, we now have sales presence internationally, primarily in Amsterdam, Dublin, London, Paris, Seoul, Singapore, Sydney, and Tokyo.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annual or multi-year,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 Usage is measured on a per-unit basis, with the unit of measure differing for each product, based on the unit that, in working with customers and design partners, best indicates the value we deliver.</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8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Due to ease of implementation of our products, professional services generally are not required and revenue from such services has been immaterial to date.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IT-related expenses, including depreciation expense.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with the exception of certain software development costs which are eligible for capitalization. We expect that our research and development expense will increase in absolute dollars as our business grows, particularly as we incur additional costs related to continued investments in our platform.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amortization of acquired customer relationships,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costs for finance, legal, human resources, and other administrative functions. In addition, general and administrative expense includes non-personnel costs, such as legal, accounting and other professional fees, hardware and software costs, certain tax, license and insurance-related expenses and allocated overhead costs. We expect that our general and administrative expense will increase in absolute dollars as our business grows.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Other income, (loss), net consists of interest income, primarily due to income earned on money market funds included in cash and cash equivalents and on marketable securities, partially offset by interest expense on the Notes and amortization of premiums on our marketable securities.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for the periods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300" w:type="dxa"/>
            <w:vAlign w:val="bottom"/>
            <w:gridSpan w:val="4"/>
          </w:tcPr>
          <w:p>
            <w:pPr>
              <w:jc w:val="center"/>
              <w:ind w:right="3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1,197,090</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885,651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3,324,970</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2,473,964</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1"/>
                <w:szCs w:val="21"/>
                <w:color w:val="auto"/>
                <w:vertAlign w:val="superscript"/>
              </w:rPr>
              <w:t>(1)(2)(3)</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237,167</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176,457</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686,508</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500,063</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959,923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709,194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2,638,462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1,973,901</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1"/>
                <w:szCs w:val="21"/>
                <w:color w:val="auto"/>
                <w:vertAlign w:val="superscript"/>
              </w:rPr>
              <w:t>(1)(3)</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491,570</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401,982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1,404,836</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1,130,525</w:t>
            </w:r>
          </w:p>
        </w:tc>
        <w:tc>
          <w:tcPr>
            <w:tcW w:w="0" w:type="dxa"/>
            <w:vAlign w:val="bottom"/>
          </w:tcPr>
          <w:p>
            <w:pPr>
              <w:spacing w:after="0"/>
              <w:rPr>
                <w:sz w:val="1"/>
                <w:szCs w:val="1"/>
                <w:color w:val="auto"/>
              </w:rPr>
            </w:pPr>
          </w:p>
        </w:tc>
      </w:tr>
      <w:tr>
        <w:trPr>
          <w:trHeight w:val="27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1"/>
                <w:szCs w:val="21"/>
                <w:color w:val="auto"/>
                <w:vertAlign w:val="superscript"/>
              </w:rPr>
              <w:t>(1)(2)(3)</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303,298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238,729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894,640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692,046</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1"/>
                <w:szCs w:val="21"/>
                <w:color w:val="auto"/>
                <w:vertAlign w:val="superscript"/>
              </w:rPr>
              <w:t>(1)(3)(4)</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90,349</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74,292</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251,498</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205,059</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885,217</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715,003</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2,550,974</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2,027,630</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(53,729)</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1"/>
                <w:szCs w:val="21"/>
                <w:color w:val="auto"/>
                <w:vertAlign w:val="superscript"/>
              </w:rPr>
              <w:t>(5)</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53,108</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43,897</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157,363</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135,739</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49,873</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41,476</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147,754</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127,280</w:t>
            </w:r>
          </w:p>
        </w:tc>
        <w:tc>
          <w:tcPr>
            <w:tcW w:w="0" w:type="dxa"/>
            <w:vAlign w:val="bottom"/>
          </w:tcPr>
          <w:p>
            <w:pPr>
              <w:spacing w:after="0"/>
              <w:rPr>
                <w:sz w:val="1"/>
                <w:szCs w:val="1"/>
                <w:color w:val="auto"/>
              </w:rPr>
            </w:pPr>
          </w:p>
        </w:tc>
      </w:tr>
      <w:tr>
        <w:trPr>
          <w:trHeight w:val="25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235,242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73,551</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19,794</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118,316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61,174</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562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(1)  Includes stock-based compensation expense as follows: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23"/>
                <w:szCs w:val="23"/>
                <w:color w:val="auto"/>
              </w:rPr>
            </w:pPr>
          </w:p>
        </w:tc>
        <w:tc>
          <w:tcPr>
            <w:tcW w:w="2300" w:type="dxa"/>
            <w:vAlign w:val="bottom"/>
            <w:gridSpan w:val="4"/>
          </w:tcPr>
          <w:p>
            <w:pPr>
              <w:jc w:val="center"/>
              <w:ind w:right="3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27,329</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21,472</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146,376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124,288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342,468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41,463</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138,622</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113,030</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237,181</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200,558</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654,274</w:t>
            </w: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545,285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acquired intangibles expense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22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0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2,056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1,451</w:t>
            </w:r>
          </w:p>
        </w:tc>
        <w:tc>
          <w:tcPr>
            <w:tcW w:w="56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2,422</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1,728</w:t>
            </w: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12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6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(3) Includes employer payroll taxes on employee stock transactions as follows:</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0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6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6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56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29,578</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8,153</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10,887</w:t>
            </w: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63,500</w:t>
            </w:r>
          </w:p>
        </w:tc>
        <w:tc>
          <w:tcPr>
            <w:tcW w:w="12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40,517</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4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(4) Includes M&amp;A transaction costs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Pr>
          <w:p>
            <w:pPr>
              <w:spacing w:after="0"/>
              <w:rPr>
                <w:sz w:val="15"/>
                <w:szCs w:val="15"/>
                <w:color w:val="auto"/>
              </w:rPr>
            </w:pPr>
          </w:p>
        </w:tc>
        <w:tc>
          <w:tcPr>
            <w:tcW w:w="2220" w:type="dxa"/>
            <w:vAlign w:val="bottom"/>
            <w:gridSpan w:val="4"/>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00" w:type="dxa"/>
            <w:vAlign w:val="bottom"/>
            <w:gridSpan w:val="4"/>
          </w:tcPr>
          <w:p>
            <w:pPr>
              <w:jc w:val="center"/>
              <w:ind w:right="37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gridSpan w:val="3"/>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gridSpan w:val="3"/>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1,119</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37"/>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1,119</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7"/>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660" w:type="dxa"/>
            <w:vAlign w:val="bottom"/>
            <w:vMerge w:val="continue"/>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5660" w:type="dxa"/>
            <w:vAlign w:val="bottom"/>
            <w:vMerge w:val="continue"/>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(5) Includes amortization of issuance costs as follows:</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5660" w:type="dxa"/>
            <w:vAlign w:val="bottom"/>
          </w:tcPr>
          <w:p>
            <w:pPr>
              <w:spacing w:after="0"/>
              <w:rPr>
                <w:sz w:val="24"/>
                <w:szCs w:val="24"/>
                <w:color w:val="auto"/>
              </w:rPr>
            </w:pPr>
          </w:p>
        </w:tc>
        <w:tc>
          <w:tcPr>
            <w:tcW w:w="2220" w:type="dxa"/>
            <w:vAlign w:val="bottom"/>
            <w:gridSpan w:val="4"/>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gridSpan w:val="4"/>
          </w:tcPr>
          <w:p>
            <w:pPr>
              <w:jc w:val="center"/>
              <w:ind w:right="37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gridSpan w:val="3"/>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gridSpan w:val="3"/>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1,050</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1,046</w:t>
            </w:r>
          </w:p>
        </w:tc>
        <w:tc>
          <w:tcPr>
            <w:tcW w:w="10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2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0" w:type="dxa"/>
            <w:vAlign w:val="bottom"/>
          </w:tcPr>
          <w:p>
            <w:pPr>
              <w:spacing w:after="0"/>
              <w:rPr>
                <w:sz w:val="1"/>
                <w:szCs w:val="1"/>
                <w:color w:val="auto"/>
              </w:rPr>
            </w:pPr>
          </w:p>
        </w:tc>
      </w:tr>
      <w:tr>
        <w:trPr>
          <w:trHeight w:val="237"/>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1,050</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1,046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revenue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0" w:type="dxa"/>
            <w:vAlign w:val="bottom"/>
            <w:gridSpan w:val="4"/>
          </w:tcPr>
          <w:p>
            <w:pPr>
              <w:jc w:val="center"/>
              <w:ind w:right="8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180" w:type="dxa"/>
            <w:vAlign w:val="bottom"/>
            <w:gridSpan w:val="3"/>
          </w:tcPr>
          <w:p>
            <w:pPr>
              <w:jc w:val="center"/>
              <w:ind w:left="81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5"/>
                <w:szCs w:val="15"/>
                <w:color w:val="auto"/>
              </w:rPr>
            </w:pPr>
          </w:p>
        </w:tc>
      </w:tr>
      <w:tr>
        <w:trPr>
          <w:trHeight w:val="190"/>
        </w:trPr>
        <w:tc>
          <w:tcPr>
            <w:tcW w:w="4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3"/>
          </w:tcPr>
          <w:p>
            <w:pPr>
              <w:jc w:val="center"/>
              <w:ind w:left="8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37"/>
        </w:trPr>
        <w:tc>
          <w:tcPr>
            <w:tcW w:w="49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5860" w:type="dxa"/>
            <w:vAlign w:val="bottom"/>
            <w:gridSpan w:val="2"/>
          </w:tcPr>
          <w:p>
            <w:pPr>
              <w:ind w:left="5580"/>
              <w:spacing w:after="0"/>
              <w:rPr>
                <w:sz w:val="20"/>
                <w:szCs w:val="20"/>
                <w:color w:val="auto"/>
              </w:rPr>
            </w:pPr>
            <w:r>
              <w:rPr>
                <w:rFonts w:ascii="Times New Roman" w:cs="Times New Roman" w:eastAsia="Times New Roman" w:hAnsi="Times New Roman"/>
                <w:sz w:val="14"/>
                <w:szCs w:val="14"/>
                <w:b w:val="1"/>
                <w:bCs w:val="1"/>
                <w:color w:val="auto"/>
                <w:w w:val="92"/>
              </w:rPr>
              <w:t>2026</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80" w:type="dxa"/>
            <w:vAlign w:val="bottom"/>
            <w:gridSpan w:val="2"/>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37"/>
        </w:trPr>
        <w:tc>
          <w:tcPr>
            <w:tcW w:w="49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gridSpan w:val="5"/>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23"/>
        </w:trPr>
        <w:tc>
          <w:tcPr>
            <w:tcW w:w="4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340" w:type="dxa"/>
            <w:vAlign w:val="bottom"/>
            <w:gridSpan w:val="5"/>
          </w:tcPr>
          <w:p>
            <w:pPr>
              <w:ind w:left="40"/>
              <w:spacing w:after="0" w:line="223" w:lineRule="exact"/>
              <w:rPr>
                <w:sz w:val="20"/>
                <w:szCs w:val="20"/>
                <w:color w:val="auto"/>
              </w:rPr>
            </w:pPr>
            <w:r>
              <w:rPr>
                <w:rFonts w:ascii="Times New Roman" w:cs="Times New Roman" w:eastAsia="Times New Roman" w:hAnsi="Times New Roman"/>
                <w:sz w:val="14"/>
                <w:szCs w:val="14"/>
                <w:b w:val="1"/>
                <w:bCs w:val="1"/>
                <w:color w:val="auto"/>
              </w:rPr>
              <w:t>(as a percentage of total revenue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4"/>
                <w:szCs w:val="14"/>
                <w:b w:val="1"/>
                <w:bCs w:val="1"/>
                <w:color w:val="auto"/>
              </w:rPr>
              <w:t>)</w:t>
            </w:r>
          </w:p>
        </w:tc>
        <w:tc>
          <w:tcPr>
            <w:tcW w:w="900" w:type="dxa"/>
            <w:vAlign w:val="bottom"/>
          </w:tcPr>
          <w:p>
            <w:pPr>
              <w:spacing w:after="0"/>
              <w:rPr>
                <w:sz w:val="19"/>
                <w:szCs w:val="19"/>
                <w:color w:val="auto"/>
              </w:rPr>
            </w:pPr>
          </w:p>
        </w:tc>
      </w:tr>
      <w:tr>
        <w:trPr>
          <w:trHeight w:val="250"/>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158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4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c>
          <w:tcPr>
            <w:tcW w:w="158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r>
      <w:tr>
        <w:trPr>
          <w:trHeight w:val="237"/>
        </w:trPr>
        <w:tc>
          <w:tcPr>
            <w:tcW w:w="4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4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4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income, net</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r>
      <w:tr>
        <w:trPr>
          <w:trHeight w:val="23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6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4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items may not total due to rounding.</w:t>
      </w:r>
    </w:p>
    <w:p>
      <w:pPr>
        <w:sectPr>
          <w:pgSz w:w="11900" w:h="16838" w:orient="portrait"/>
          <w:cols w:equalWidth="0" w:num="1">
            <w:col w:w="11240"/>
          </w:cols>
          <w:pgMar w:left="320" w:top="1235"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2026 and 2025</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8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1,197,090</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885,651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311,439</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 increased by $311.4 million, or 35%, for the three months ended September 30, 2026 compared to the three months ended September 30, 2025. Approximately 70% of the increase in revenue was attributable to growth from existing customers, and the remaining 30% was attributable to growth from new customers. We saw a reduction in usage from our largest customer in the third quarter of 2026, which may cause a deceleration in revenue growth.</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9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237,167</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176,457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 increased by $60.7 million, or 34%, for the three months ended September 30, 2026 compared to the three months ended September 30, 2025. This increase was primarily due to an increase of $52.1 million in third-party cloud infrastructure hosting and software costs and an increase of $3.9 million in personnel costs including allocated overhead costs as a result of increased headcount.</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gross margin remained flat for the three months ended September 30, 2026 compared to the three months ended September 30, 2025, primarily as a result of revenue growing in proportion to the growth of our third-party cloud infrastructure provider costs.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420" w:type="dxa"/>
            <w:vAlign w:val="bottom"/>
          </w:tcPr>
          <w:p>
            <w:pPr>
              <w:spacing w:after="0"/>
              <w:rPr>
                <w:sz w:val="3"/>
                <w:szCs w:val="3"/>
                <w:color w:val="auto"/>
              </w:rPr>
            </w:pPr>
          </w:p>
        </w:tc>
      </w:tr>
      <w:tr>
        <w:trPr>
          <w:trHeight w:val="200"/>
        </w:trPr>
        <w:tc>
          <w:tcPr>
            <w:tcW w:w="5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7"/>
                <w:szCs w:val="17"/>
                <w:color w:val="auto"/>
              </w:rPr>
            </w:pPr>
          </w:p>
        </w:tc>
        <w:tc>
          <w:tcPr>
            <w:tcW w:w="9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491,570</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401,982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89,588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spacing w:after="0" w:line="3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$89.6 million, or 22%, for the three months ended September 30, 2026 compared to the three months ended September 30, 2025. This increase was primarily due to an increase of $58.8 million in personnel costs including allocated overhead costs for our engineering, product and design teams as a result of increased headcount and an increase of $30.8 million in cloud infrastructure and software-related investments.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2"/>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3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9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303,298</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238,729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Sales and marketing expense increased by $64.6 million, or 27%, for the three months ended September 30, 2026 compared to the three months ended September 30, 2025. This increase was primarily due to an increase of $53.9 million in</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33" w:name="page34"/>
    <w:bookmarkEnd w:id="3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personnel costs including allocated overhead costs for our sales and marketing organization as a result of increased headcount and increased variable compensation for our sales personnel and an increase of $8.5 million in advertising, sales, marketing and promotional activities.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9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90,349</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74,292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8 %</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$16.1 million, or 22%, for the three months ended September 30, 2026 compared to the three months ended September 30, 2025. This increase was primarily due to an increase of $13.4 million in personnel costs including allocated overhead costs as a result of increased headcount and an increase of $4.5 million in bad debt expense, partially offset by a decrease of $4.9 million in legal costs.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9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49,873</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41,476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4 %</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income, net increased by $8.4 million, or 20%, for the three months ended September 30, 2026 compared to the three months ended September 30, 2025. This increase was primarily driven by an increase of $7.1 million in interest income, mainly due to income earned from investments in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2026 and 2025</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3,324,970</w:t>
            </w:r>
          </w:p>
        </w:tc>
        <w:tc>
          <w:tcPr>
            <w:tcW w:w="5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2,473,964</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851,006</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7"/>
        </w:trPr>
        <w:tc>
          <w:tcPr>
            <w:tcW w:w="55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 increased by $851.0 million, or 34%, in the nine months ended September 30, 2026 compared to the nine months ended September 30, 2025. Approximately 70% of the increase in revenue was attributable to growth from existing customers, and the remaining 30% was attributable to growth from new customers. We saw a reduction in usage from our largest customer in the third quarter of 2026, which may cause a deceleration in revenue growth.</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3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8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686,508</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500,063</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186,445</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Cost of revenue increased by $186.4 million, or 37%, in the nine months ended September 30, 2026 compared to the nine months ended September 30, 2025. This increase was primarily due to an increase of $158.1 million in third-party cloud</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34" w:name="page35"/>
    <w:bookmarkEnd w:id="3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infrastructure hosting and software costs and an increase of $13.5 million in personnel costs including allocated overhead costs as a result of increased headcount.</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gross margin decreased for the nine months ended September 30, 2026 compared to the nine months ended September 30, 2025, primarily as a result of increased spend with our third-party cloud infrastructure provider costs.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3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1,404,836</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1,130,525</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274,311</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$274.3 million, or 24%, in the nine months ended September 30, 2026 compared to the nine months ended September 30, 2025. This increase was primarily due to an increase of $191.6 million in personnel costs including allocated overhead costs for our engineering, product and design teams as a result of increased headcount and an increase of $80.0 million in cloud infrastructure and software-related investments.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gridSpan w:val="2"/>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420" w:type="dxa"/>
            <w:vAlign w:val="bottom"/>
          </w:tcPr>
          <w:p>
            <w:pPr>
              <w:spacing w:after="0"/>
              <w:rPr>
                <w:sz w:val="3"/>
                <w:szCs w:val="3"/>
                <w:color w:val="auto"/>
              </w:rPr>
            </w:pPr>
          </w:p>
        </w:tc>
      </w:tr>
      <w:tr>
        <w:trPr>
          <w:trHeight w:val="200"/>
        </w:trPr>
        <w:tc>
          <w:tcPr>
            <w:tcW w:w="5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7"/>
                <w:szCs w:val="17"/>
                <w:color w:val="auto"/>
              </w:rPr>
            </w:pPr>
          </w:p>
        </w:tc>
        <w:tc>
          <w:tcPr>
            <w:tcW w:w="8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894,640</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692,046</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202,594</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by $202.6 million, or 29%, in the nine months ended September 30, 2026 compared to the nine months ended September 30, 2025. This increase was primarily due to an increase of $164.2 million in personnel costs including allocated overhead costs for our sales and marketing organization as a result of increased headcount and increased variable compensation for our sales personnel and an increase of $30.3 million in advertising, sales, marketing and promotional activities.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8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251,498</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205,059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46,439</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3"/>
                <w:szCs w:val="23"/>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8 %</w:t>
            </w: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$46.4 million, or 23%, in the nine months ended September 30, 2026 compared to the nine months ended September 30, 2025. This increase was primarily due to an increase of $37.8 million in personnel costs including allocated overhead costs as a result of increased headcount and an increase of $6.7 million in bad debt expense, partially offset by a decrease of $4.5 million in legal costs.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8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ind w:right="202"/>
              <w:spacing w:after="0"/>
              <w:rPr>
                <w:sz w:val="20"/>
                <w:szCs w:val="20"/>
                <w:color w:val="auto"/>
              </w:rPr>
            </w:pPr>
            <w:r>
              <w:rPr>
                <w:rFonts w:ascii="Times New Roman" w:cs="Times New Roman" w:eastAsia="Times New Roman" w:hAnsi="Times New Roman"/>
                <w:sz w:val="18"/>
                <w:szCs w:val="18"/>
                <w:color w:val="auto"/>
              </w:rPr>
              <w:t>147,754</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127,280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20,474</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3"/>
                <w:szCs w:val="23"/>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4 %</w:t>
            </w: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35" w:name="page36"/>
    <w:bookmarkEnd w:id="35"/>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income, net increased by $20.5 million, or 16%, in the nine months ended September 30, 2026 compared to the nine months ended September 30, 2025. This increase was primarily driven by an increase of $13.0 million in net foreign currency transaction gains and an increase of $5.4 million in interest income from investments in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subscriptions to our customers. Our primary uses of cash from operating activities are for personnel expenses, hosting expenses, facility expenses, and marketing expenses. We generated positive cash flows from operations during the nine months ended September 30, 2026 and 2025. When assessing sources of liquidity, we also include cash and cash equivalents of $881.2 million and marketable securities of $4.4 billion as of September 30, 2026. We believe that our existing cash and cash equivalents, marketable securities and cash flow from operations will be sufficient to support our cash requirements for the next 12 months and beyond.</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working capital requirements principally consist of workforce salaries, bonuses, commissions, and benefits and, to a lesser extent, cancellable and non-cancelable licenses and services arrangements that are integral to our business operations, and operating lease obligations. Our principal commitments consist of purchase commitments for business operations, operating lease obligations, and obligations to pay principal and future interest payments related to our 2029 Notes. Purchase commitments for business operations are primarily related to cloud hosting and other software-based services.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also issued long-term debt to finance our business. In December 2024, we issued $1.0 billion aggregate principal amount of the 2029 Notes in a private placement to qualified institutional buyers pursuant to Rule 144A under the Securities Act. The total net proceeds from the sale of the 2029 Notes, after deducting the initial purchasers’ discounts and debt issuance costs, were approximately $979.1 million. The principal and future interest payments related to our 2029 Notes are $1.0 billion. We may from time to time seek to retire or purchase the 2029 Notes, through cash purchases and/or exchanges for equity securities, in open market purchases, privately negotiated transactions or otherwise.</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13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940,446</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8"/>
                <w:szCs w:val="18"/>
                <w:color w:val="auto"/>
                <w:w w:val="99"/>
              </w:rPr>
              <w:t>723,066</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(510,306)</w:t>
            </w:r>
          </w:p>
        </w:tc>
        <w:tc>
          <w:tcPr>
            <w:tcW w:w="500" w:type="dxa"/>
            <w:vAlign w:val="bottom"/>
          </w:tcPr>
          <w:p>
            <w:pPr>
              <w:spacing w:after="0"/>
              <w:rPr>
                <w:sz w:val="19"/>
                <w:szCs w:val="19"/>
                <w:color w:val="auto"/>
              </w:rPr>
            </w:pPr>
          </w:p>
        </w:tc>
        <w:tc>
          <w:tcPr>
            <w:tcW w:w="88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(836,626)</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53,900</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(602,530)</w:t>
            </w:r>
          </w:p>
        </w:tc>
      </w:tr>
    </w:tbl>
    <w:p>
      <w:pPr>
        <w:spacing w:after="0" w:line="2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2026 increased by $217.4 million compared to the nine months ended September 30, 2025, primarily driven by an increase in net income of $154.3 million, an increase in non-cash charges of $149.2 million, an increase in accounts payable of $80.4 million, and an increase in deferred revenue of $23.6 million. The increase in non-cash charges related primarily to an increase of $109.0 million in stock-based compensation as we continued to increase headcount to support the growth of the business. The increase in cash provided by operating activities was partially offset by an increase in accounts receivable of $109.8 million, an increase in deferred contract costs of $37.7 million, and a decrease in accrued expenses and other liabilities of $32.9 million.</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2026 decreased by $326.3 million compared to the nine months ended September 30, 2025, primarily driven by an increase in proceeds from the maturities of marketable securities of $744.9 million and an increase in proceeds from the sale of marketable securities of $310.0 million. This decrease in cash used in investing activities was partially offset by an increase in purchases of marketable securities of $707.6 million and an increase in capitalized software development costs of $31.2 million.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6" w:name="page37"/>
    <w:bookmarkEnd w:id="36"/>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2026 increased $656.4 million compared to the nine months ended September 30, 2025, primarily due to the absence in the current period of $635.5 million in repayments of the 2025 convertible senior notes that occurred during the nine months ended September 30, 2025. The increase was also due to a $10.5 million increase in proceeds from the issuance of common stock under the employee stock purchase plan and a $10.2 million increase in proceeds from the exercise of stock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Free Cash Flow</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report our financial results in accordance with U.S. GAAP. To supplement our condensed consolidated financial statements, we provide investors with the amount of free cash flow, which is a non-GAAP financial measure. Free cash flow represents net cash provided by operating activities, reduced by capital expenditures and capitalized software development costs, if any. Free cash flow is a measure used by management to understand and evaluate the strength of our liquidity and future ability to generate cash that can be used for strategic opportunities or investing in our business. The reduction of capital expenditures and amounts capitalized for software development facilitates comparisons of our liquidity on a period-to-period basis and excludes items that we do not consider to be indicative of our liquidity.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18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free cash flow to net cash provided by operating activities, the most directly comparable financial measure calculated in accordance with GAAP, for each of the periods indicated:</w:t>
      </w:r>
    </w:p>
    <w:p>
      <w:pPr>
        <w:spacing w:after="0" w:line="6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940,446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723,066</w:t>
            </w: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20" w:type="dxa"/>
            <w:vAlign w:val="bottom"/>
          </w:tcPr>
          <w:p>
            <w:pPr>
              <w:spacing w:after="0"/>
              <w:rPr>
                <w:sz w:val="19"/>
                <w:szCs w:val="19"/>
                <w:color w:val="auto"/>
              </w:rPr>
            </w:pPr>
          </w:p>
        </w:tc>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(32,119)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(40,686)</w:t>
            </w: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(89,897)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(58,684)</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818,430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623,696</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disclosed in Part II, Item 7, “Management’s Discussion and Analysis of Financial Condition and Results of Operations” of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a discussion of recent accounting pronouncements.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As of September 30, 2026, we had $747.1 million in cash equivalents and $4.4 billion in marketable securities, </w:t>
      </w:r>
      <w:r>
        <w:rPr>
          <w:rFonts w:ascii="Times New Roman" w:cs="Times New Roman" w:eastAsia="Times New Roman" w:hAnsi="Times New Roman"/>
          <w:sz w:val="18"/>
          <w:szCs w:val="18"/>
          <w:color w:val="333333"/>
        </w:rPr>
        <w:t>which consisted</w:t>
      </w:r>
      <w:r>
        <w:rPr>
          <w:rFonts w:ascii="Times New Roman" w:cs="Times New Roman" w:eastAsia="Times New Roman" w:hAnsi="Times New Roman"/>
          <w:sz w:val="18"/>
          <w:szCs w:val="18"/>
          <w:color w:val="auto"/>
        </w:rPr>
        <w:t xml:space="preserve"> of corporate debt securities, commercial paper, certificates of deposit, U.S. government treasury securities, and U.S. government agency securities</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Our cash and cash equivalents are held for working capital purposes. We do not enter into investments for trading or speculative purposes. </w:t>
      </w:r>
      <w:r>
        <w:rPr>
          <w:rFonts w:ascii="Times New Roman" w:cs="Times New Roman" w:eastAsia="Times New Roman" w:hAnsi="Times New Roman"/>
          <w:sz w:val="18"/>
          <w:szCs w:val="18"/>
          <w:color w:val="333333"/>
        </w:rPr>
        <w:t>Our investments are exposed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market risk due to a fluctuation in interest rates, which may affect our interest income and the fair market value of our investments. </w:t>
      </w:r>
      <w:r>
        <w:rPr>
          <w:rFonts w:ascii="Times New Roman" w:cs="Times New Roman" w:eastAsia="Times New Roman" w:hAnsi="Times New Roman"/>
          <w:sz w:val="18"/>
          <w:szCs w:val="18"/>
          <w:color w:val="000000"/>
        </w:rPr>
        <w:t>As of September 30,</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2026, a hypothetical 10% relative change in interest rates would not have a material impact on our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reporting currency and the functional currency of our wholly-owned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France, and Ireland. Our consolidated results of operations and cash flows are, therefore, subject to fluctuations due to changes in foreign currency exchange rates and may be adversely affected in the future due to changes in foreign exchange rates.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mitigate a portion of our exposure to foreign currency exchange rate fluctuations, we enter into foreign currency forward contracts to hedge certain forecasted cash flows denominated in foreign currencies. These contracts are designated as cash flow hedges and are intended to reduce the variability in operating expenses associated with changes in foreign exchange rates. We do not enter into foreign currency forward contracts for trading or speculative purposes.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hypothetical 10% increase or decrease in the relative value of the U.S. dollar to other currencies would not have a material effect on our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September 30, 2026. Based on the evaluation of our disclosure controls and procedures as of September 30, 2026, our Chief Executive Officer and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38" w:name="page39"/>
    <w:bookmarkEnd w:id="38"/>
    <w:p>
      <w:pPr>
        <w:jc w:val="both"/>
        <w:spacing w:after="0" w:line="255" w:lineRule="auto"/>
        <w:rPr>
          <w:sz w:val="20"/>
          <w:szCs w:val="20"/>
          <w:color w:val="auto"/>
        </w:rPr>
      </w:pPr>
      <w:r>
        <w:rPr>
          <w:rFonts w:ascii="Times New Roman" w:cs="Times New Roman" w:eastAsia="Times New Roman" w:hAnsi="Times New Roman"/>
          <w:sz w:val="18"/>
          <w:szCs w:val="18"/>
          <w:color w:val="auto"/>
        </w:rPr>
        <w:t>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principal risks associated with an investment in our Class A common stock:</w:t>
      </w:r>
    </w:p>
    <w:p>
      <w:pPr>
        <w:spacing w:after="0" w:line="117" w:lineRule="exact"/>
        <w:rPr>
          <w:sz w:val="20"/>
          <w:szCs w:val="20"/>
          <w:color w:val="auto"/>
        </w:rPr>
      </w:pPr>
    </w:p>
    <w:p>
      <w:pPr>
        <w:ind w:left="98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may not achieve or sustain profitability in the future.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forecast our future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the growth of our business, and this capital might not be available on acceptable terms, if at all.</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existing customers purchasing additional subscriptions and products from us and renewing their subscriptions. If our customers do not renew or expand their subscriptions with us, or decrease their spend on our products, our future operating results would be harmed.</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our business, financial condition and results of operations will be adversely affected.</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sales and marketing capabilities could harm our ability to increase our customer base and achieve broader market acceptance of our products.</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service providers experience, or are unable to protect against cyber-attacks,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7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products and platform capabilities may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manage our growth, and if we are not able to grow efficiently,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ind w:left="980" w:hanging="486"/>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competitive, and if we do not compete effectively,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third-party service providers are subject to stringent and changing laws, regulations standards, and contractual obligations related to data privacy and security. Actual or perceived failure by us or our third-party service providers to comply with such laws, regulations, standards, or contractual obligations could harm our business.</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Growth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changes in trade policies, such as trade wars, tariffs or other trade restrictions or the threat of such actions, financial and credit market fluctuations, fluctuating inflation and interest rates, international trade relations, political turmoil, natural catastrophes, outbreaks of contagious diseases, warfare and terrorist attacks on the United States, Europe, the Asia Pacific region or elsewhere, such as the conflicts in Ukraine and the Middle East, could cause a decrease in business investments, including spending on information technology, disrupt the timing and cadence of key industry events, and negatively affect the growth of our business and our results of operations. Such catastrophic and disruptive events have and may adversely affect workforces, economies and financial markets globally, leading to a reduction in the ability of, or the inability of, customers, partners, suppliers, vendors or other parties to meet their contractual obligations, and for a period of time, a reduction in customer spending on technology, and such conditions have and may reoccur in the future. For instance, there is currently significant uncertainty about trade policies, treaties, tariffs and taxes. Even in the absence of tariffs or other trade restrictions, the related uncertainty with respect to international trade may lead to continuing volatility in U.S. and global financial and economic conditions and commodity markets, declining consumer confidence, significant inflation and diminished expectations for the economy, and ultimately reduced usage and demand for our products. The war in Ukraine, conflicts in the Middle East and related political and economic responses such as sanctions imposed on Russia and Iran, may also exacerbate these issues and trends especially in these regions. In addition interest rates remain elevated, which may dampen economic growth and cause companies to moderate spending on information technology.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Our competitors, many of which are larger and have greater financial resources than we do, may respond to challenging market conditions by lowering prices in an attempt to attract our customers and may be less dependent on key industry events to generate sales for their products.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revenue was $3.3 billion and $2.5 billion for the nine months ended September 30, 2026 and 2025,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72" w:lineRule="exact"/>
        <w:rPr>
          <w:sz w:val="20"/>
          <w:szCs w:val="20"/>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effectively so that we are able to attract new customers and expand sales to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functionality and use cases for the products we offer on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the rates at which customers purchase and renew subscriptions to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customers with support that meets their needs;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introduce our products to new markets outside of the United States;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and acquire or invest in businesses, products or technologies that we believe could complement or expand our platform;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on a global basis and successfully compete with other companies.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117" w:lineRule="exact"/>
        <w:rPr>
          <w:sz w:val="20"/>
          <w:szCs w:val="20"/>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organization to engage our existing and prospective customers, increase brand awareness and drive adoption of our products;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investments;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Additionally, we may encounter unforeseen operating expenses, difficulties, complications, delays, and other unknown factors that may result in losses in future periods. In future periods if our revenue growth does not meet our expectations or increase at a rate sufficient to offset the expected increase in our costs, our business, financial position and results of operations may be harmed, and we may not maintain profitability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sustain profitability in the future.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Prior to the year ended December 31, 2023, we incurred net losses in each fiscal year since our inception, including a net loss of $(50.2) million in the year ended December 31, 2022. While we have experienced significant revenue growth in recent periods and periods of profitability, we are not certain whether or when we will obtain a high enough volume of sales to sustain or increase our growth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and the expansion of our customer base.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sustain profitability, the value of our business and Class A common stock may significantly decrease.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our current scale, which makes it difficult to forecast our future results of operations.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a result of our limited operating history at our current scale and the introduction of several new products in recent years,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uncertainties and our future revenue growth are incorrect or change, or if we do not address these risks successfully, our operating and financial results could differ materially from our expectations, and our business could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equity and debt financings and sales of our products. We cannot be certain if our operations will continue to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 See also "Risks Related to Our Outstanding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Operational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or decrease their spend on our products, our future operating results would be harmed.</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or reductions in our customers’ spending on IT solutions or their spending levels generally. These factors may be exacerbated by unfavorable conditions in the economy, see “Risks Associated with our Growth—Unfavorable conditions in our industry or the global economy, or reductions in information technology spending, could limit our ability to grow our business and negatively affect our results of operations” above. These factors may also be exacerbated if, consistent with our growth strategy, our customer base continues to grow to encompass larger enterprises, which may also require more sophisticated and costly sales efforts. Certain customers and cohorts of customers in specific industries have or in the future may increase usage of our product and then seek to optimize their usage, renew their subscriptions on terms less favorable to us, or not renew their subscriptions, which may result in revenue volatility. For example, our AI-native cohort, which cohort includes our largest customer, contributed high single digit percentage points to the total Company year-over-year revenue growth for the quarter ended September 30, 2026. This cohort rapidly increased their usage of our product, and may in the future optimize their usage, or may fail to renew their subscriptions. In the third quarter of 2026, we saw our largest customer reduce their usage. If our customers do not purchase additional subscriptions and products from us, reduce their usage, fail to renew their subscriptions or renew on different terms, our revenue and dollar-based net retention may decline and our business, financial condition and results of operations may be harmed.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business, financial condition and results of operations will be adversely affected.</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or the third-parties with whom we work experience, or are unable to protect against cyber-attacks, ransomware, security incidents, or security breaches, or if unauthorized parties otherwise obtain access to or otherwise compromise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and share personal, confidential and proprietary information and other information (collectively, sensitive information) necessary to provide our services, to operate our business, for legal and marketing purposes, and for other business-related purposes.</w:t>
      </w:r>
    </w:p>
    <w:p>
      <w:pPr>
        <w:spacing w:after="0" w:line="176"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platform and products involve the storage and transmission of data, including personal information, and security breaches or unauthorized access to our platform and products, or those of the third-parties with whom we work, could result in the unauthorized, unlawful, or accidental acquisition, modification, destruction, loss, alteration, encryption, disclosure of, or access to sensitive information including our customers’ data. Consequently, we may be subject to significant litigation, indemnity obligations, fines, penalties, disputes, investigations and other liabilities. We have previously and may in the future become the target of cyber-attacks by third parties, including without limitation nation-state actors, seeking to gain unauthorized access to and exfiltrate our or our customers’ data, including confidential and personal information, or to disrupt our ability to provide our services. Cyber-attacks, computer malware, viruses, employee mistakes or malfeasance, social engineering (including through deep fakes and spear phishing), malicious code, denial-of-service attacks, credential harvesting and general hacking have become more prevalent in our industry, particularly against cloud services, and have become enhanced or facilitated by artificial intelligence. Ransomware attacks, including those from organized criminal threat actors, nation-states and nation-state supported actors, are prevalent and can lead to significant interruptions, delays, or outages in our operations, loss of data (including customer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or regulations prohibit such payments). In addition, many of our employees work remotely and utilize network connections, computers and devices outside our premises or network, which may pose additional data security risks (including, for example, the increasing number of phishing and malicious emails we continue to receive). The reliability and continuous availability of our platform is critical to our success.</w:t>
      </w:r>
    </w:p>
    <w:p>
      <w:pPr>
        <w:spacing w:after="0" w:line="19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use third-parties, including sub-processors, to help us deliver services to our customers. These vendors, such as cloud infrastructure providers, store or process personal and confidential information for us or our customers. We use third-party technology, systems and services in a variety of contexts, including, without limitation, cloud infrastructure, encryption and authentication technology, employee email, content delivery to customers, back-office support, credit card processing and other functions. While we have taken steps designed to protect the confidential and personal information that we have access to, our security measures or those of the third-parties with whom we work that store or otherwise process certain of our and our customers’ data on our behalf could be breached or we could suffer a loss of our or our customers’ data. Our ability to monitor these third-parties’ data security is limited, and they may not have adequate information security measures in place. Similarly, supply chain attacks have increased in frequency and severity, and we cannot guarantee that third parties and infrastructure in our supply chain have not been compromised or that they do not contain exploitable defects or bugs that could result in a breach</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of or disruption to our platform, systems and networks or the systems and networks of third parties that support us and our services. Despite the security controls we have in place, such attacks are very difficult to avoid.</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There can be no assurance that any security measures that we or the third-parties with whom we work have implemented will be effective against current or future security threats. While we have developed systems and processes designed to protect the integrity, confidentiality, and security of our and our customers’ data, our security measures or those of the third-parties with whom we work could fail and result in unauthorized access to or disclosure, modification, misuse, loss or destruction of such data. Additionally, as AI technologies continue to evolve, threat actors are using and exploiting these technologies to enhance the sophistication, scale, speed and effectiveness of security threats that may be more difficult to detect and defend against, including future capabilities to identify previously unknown vulnerabilities and automate complex, multi-stage attack chains.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8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we do not directly control content that our customers store in our products. If our customers use our products for the collection,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Our remediation efforts may not be successful. We employ a shared responsibility model where our customers are responsible for using, configuring, and otherwise implementing security measures related to our platform, services, and products. As part of this shared responsibility security model, we make certain security features available to our customers that can be implemented at our customers’ discretion, or identify security areas or measures for which our customers are responsible. In certain cases our customers may choose not to implement, or may incorrectly implement, those features or measures, misuse our services, or otherwise experience their own vulnerabilities, policy violations, credential exposure, or security incidents. Even if we are not the cause of a resulting customer security issue or incident, our customer relationships, reputation, and business may be adversely impacted. Some of our customers may be subject to the EU’s Digital Operational Resilience Act (DORA) and similar regulatory requirements in the United Kingdom related to operational resilience, which has led and will lead certain of our customers to negotiate additional specific provisions with us, including certain mandatory risk management, transparency and continuity provisions. If we fail to materially comply with these contractual requirements, we may be subject to investigations, audits or other adverse consequences.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process, store and transmit our own data as part of our business and operations. This data includes personal, confidential or proprietary information. We may expend significant resources, fundamentally change our business activities and practices, or modify our operations or information technology in an effort to protect against security incidents and to mitigate, detect, and remediate actual and potential vulnerabilities.</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take steps designed to detect, mitigate, and remediate vulnerabilities in our information systems (such as our hardware and/or software, including that of third parties with whom we work). We may not, however, detect and remediate all such vulnerabilities on a timely basis. Among other things, our applications, systems, networks, software, other computer assets and physical facilities have been and in the future could be breached or could otherwise malfunction or fail, or the sensitive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For example, in April 2025, we notified customers of access by an unauthorized third party to a number of Datadog source code repositories arising from compromised employee account credentials. After discovering the access, we revoked the credentials and terminated the unauthorized access. However, such unauthorized access may increase our vulnerability to certain attacks at a later date through exploitation of our source code, including the exploitation of potential vulnerabilities in the Datadog platform or products, or information stored within the source code. Additionally, from time to time employees or service providers may inadvertently misconfigure resources or misdirect certain communications, leading to security vulnerabilities or incidents that we must then expend effort and incur expenses to correct.</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have contractual and other legal obligations, or we may voluntarily choose, to notify relevant stakeholders of security incidents. For instance, most jurisdictions have enacted laws, such as the U.S. Health Insurance Portability and Accountability Act of 1996, or HIPAA, requiring companies to notify individuals, regulatory authorities, and others of security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5" w:name="page46"/>
    <w:bookmarkEnd w:id="45"/>
    <w:p>
      <w:pPr>
        <w:jc w:val="both"/>
        <w:spacing w:after="0" w:line="254" w:lineRule="auto"/>
        <w:rPr>
          <w:sz w:val="20"/>
          <w:szCs w:val="20"/>
          <w:color w:val="auto"/>
        </w:rPr>
      </w:pPr>
      <w:r>
        <w:rPr>
          <w:rFonts w:ascii="Times New Roman" w:cs="Times New Roman" w:eastAsia="Times New Roman" w:hAnsi="Times New Roman"/>
          <w:sz w:val="18"/>
          <w:szCs w:val="18"/>
          <w:color w:val="auto"/>
        </w:rPr>
        <w:t>breaches involving certain types of data. Such mandatory contractual and legal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and any failure to provide appropriate notice may violate the terms of our customer contracts. Applicable laws, our contracts and our representations require us to implement and maintain industry-standard or reasonable measures to safeguard personal information or confidential information. A security breach could lead to claims by our customers, or other relevant stakeholders, that we have failed to comply with such legal or contractual obligations. As a result, we could be subject to legal action or our customers could end their relationships with us. Further, our contracts may not contain limitations of liability, and even where they do, there can be no assurance that any limitations of liability would be enforceable or adequate or would otherwise protect us from liabilities or damages.</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we cannot be certain that our insurance coverage will be adequate or sufficient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Our risks are likely to increase as we continue to expand, grow our customer base, and process, store, and transmit increasingly large amounts of sensitive information.</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software could adversely affect our business, results of operations, financial condition and growth prospects.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Our systems could also be negatively affected by vulnerabilities present in acquired or integrated entities’ systems and technologies, and such vulnerabilities may not be discovered during our due diligence. Real or perceived errors, failures or bugs in our products could result in negative publicity, security breaches or other security incidents,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or bugs in our software could also impair our ability to attract new customers, retain existing customers or expand their use of our software, which would adversely affect our business, results of operations and financial condition.</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 For example, in March 2023, our platform experienced widespread outages across multiple products and regions, which was substantially resolved in approximately a day.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6" w:name="page47"/>
    <w:bookmarkEnd w:id="46"/>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21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outbreaks of contagious diseases,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9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 encourage awareness, usage, familiarity and adoption of our platform and products, we offer free trials and a free tier of our platform. These strategies may not be successful in leading customers to purchase our products, as users of our free tier may not lead to them or others within their organization purchasing and deploying our platform. To the extent that users do not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become, or we are unable to successfully attract paying customers, we will not realize the intended benefits of these marketing strategies and our ability to grow our revenue will be adversely affected.</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68" w:lineRule="exact"/>
        <w:rPr>
          <w:sz w:val="20"/>
          <w:szCs w:val="20"/>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 and the pricing and quantity of subscriptions renewed;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subscriptions from customers in our cloud-provider marketplaces;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our investments to expand the capacity of our third-party cloud infrastructure providers;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driven by industry conferences;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new products and features relative to investments in our existing infrastructure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customer purchases;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or enhancements by us or our competitors;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 including commissions;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regions and industries in which our customers participate, including those impacted by the war in Ukraine and conflicts in the Middle East;</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trade policies, such as trade wars, tariffs or other trade restrictions or the threat of such actions;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other economic factors, including inflation, pricing and currency fluctuations;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elements, expenses associated with compliance;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products and platform capabilities.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periods of volatility and disruptions, including periods of diminished liquidity and credit availability, changes in consumer confidence, fluctuations in economic growth, volatility in unemployment rates, fluctuating inflation and interest rates, and uncertainty about economic stability. For a discussion of certain of these economic, political, regulatory, and market risks, see “Risks Associated with our Growth—Unfavorable conditions in our industry or the global economy, or reductions in information technology spending, could limit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grow our business and negatively affect our results of operations”. Any such volatility and disruptions may have adverse consequences on us or the third parties on whom we rely. If the equity and credit markets deteriorate, or do not improve,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personnel costs.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sales and results of operations.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Historically, we have experienced seasonality in new customer bookings, as we typically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Downturns or upturns in our sales may not be immediately reflected in our financial position and results of operations.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Because we recognize a large portion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success and future growth depend largely upon the continued services of our executive officers, particularly Olivier Pomel, our co-founder and Chief Executive Officer, Alexis Lê-Quôc, our co-founder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9" w:name="page50"/>
    <w:bookmarkEnd w:id="49"/>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engineers experienced in designing and developing SaaS applications, those experienced with artificial intelligence and machine learning, and experienced sales professionals. If we are unable to attract such personnel in cities where we are located, we may need to hire in other locations which may add to the complexity and costs of our business operations. We have experienced, and we expect to continue to experience, difficulty in hiring and retaining employees with appropriate qualifications. These difficulties may be amplified by evolving restrictions on immigration, travel, or availability of visas for skilled technology workers. Current and future restrictions on the availability of visas, increased costs of visas, or delays in the issuance of visas could impair our ability to employ skilled professionals.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value or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continue to grow and expand globally, we may find it difficult to maintain these important aspects of our culture particularly given remote or hybrid work arrangements. If we fail to maintain our company culture, our business and competitive position may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internal controls or operations of any acquired companies, particularly if the key personnel of an acquired company choose not to work for us, their software is not easily adapted to work with our platform, or we have difficulty retaining the customers of</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0" w:name="page51"/>
    <w:bookmarkEnd w:id="50"/>
    <w:p>
      <w:pPr>
        <w:jc w:val="both"/>
        <w:spacing w:after="0" w:line="255" w:lineRule="auto"/>
        <w:rPr>
          <w:sz w:val="20"/>
          <w:szCs w:val="20"/>
          <w:color w:val="auto"/>
        </w:rPr>
      </w:pPr>
      <w:r>
        <w:rPr>
          <w:rFonts w:ascii="Times New Roman" w:cs="Times New Roman" w:eastAsia="Times New Roman" w:hAnsi="Times New Roman"/>
          <w:sz w:val="18"/>
          <w:szCs w:val="18"/>
          <w:color w:val="auto"/>
        </w:rPr>
        <w:t>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Competitive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For example, some of our products use artificial intelligence, or AI, and machine learning, and we are making investments in expanding our artificial intelligence capabilities, which will require significant investment in infrastructure and personnel. However, AI technologies are complex and rapidly evolving in a changing competitive market and market acceptance of AI technologies remains uncertain, see “Industry and Competitive Risks—We use artificial intelligence in our products and services which may result in operational challenges, legal liability, reputational harm, competitive risks and regulatory concerns that could adversely affect our business and results of operations.” below. If we were unable to enhance our products and platform capabilities to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9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success of our platform depends, in part, on its ability to be deployed in a self-service installation process. We currently offer more than 1,000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and SolarWinds Corporation. With respect to APM, we compete with companies including Cisco Systems, Inc., New Relic, Inc. and Dynatrace Software Inc. With respect to log management, we compete with companies including Cisco Systems,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1" w:name="page52"/>
    <w:bookmarkEnd w:id="51"/>
    <w:p>
      <w:pPr>
        <w:jc w:val="both"/>
        <w:spacing w:after="0" w:line="261" w:lineRule="auto"/>
        <w:rPr>
          <w:sz w:val="20"/>
          <w:szCs w:val="20"/>
          <w:color w:val="auto"/>
        </w:rPr>
      </w:pPr>
      <w:r>
        <w:rPr>
          <w:rFonts w:ascii="Times New Roman" w:cs="Times New Roman" w:eastAsia="Times New Roman" w:hAnsi="Times New Roman"/>
          <w:sz w:val="18"/>
          <w:szCs w:val="18"/>
          <w:color w:val="auto"/>
        </w:rPr>
        <w:t>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compete on the basis of a number of factors, including:</w:t>
      </w:r>
    </w:p>
    <w:p>
      <w:pPr>
        <w:spacing w:after="0" w:line="117" w:lineRule="exact"/>
        <w:rPr>
          <w:sz w:val="20"/>
          <w:szCs w:val="20"/>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unified, real-time observability of IT environments;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in dynamic and elastic environments;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extensibility across the enterprise, including development, operations and business users;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propensity to enable collaboration between development, operations and business users;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any combination of public clouds, private clouds, on-premise and multi-cloud hybrids;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advanced analytics and machine learning;</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implementation and use;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across a broad range of geographies in compliance with local regulations;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offering and key technology integrations;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security, scalability and reliability;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and customer satisfaction;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our solutions may develop more slowly or differently than we expect.</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2" w:name="page53"/>
    <w:bookmarkEnd w:id="5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in our products, services and operations which may result in operational challenges, legal liability, reputational harm, competitive risks and regulatory concerns that could adversely affect our business and results of operations.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incorporate AI, including generative AI, into our products. These technologies are complex and rapidly evolving and building them requires significant investment in infrastructure and personnel with no assurance that we will realize the desired or anticipated benefits. Our competitors may more successfully incorporate AI into their products and achieve higher market acceptance of their AI solutions, which could impair our ability to compete effectively and adversely affect our results of operations.</w:t>
      </w:r>
    </w:p>
    <w:p>
      <w:pPr>
        <w:spacing w:after="0" w:line="180"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may also encounter new risks, challenges, and unintended consequences as a result of our use of AI. For example, the issue of intellectual property ownership and license rights surrounding AI technologies has not been fully addressed by U.S. courts or federal or state laws and regulations, and the incorporation of AI technologies into our products and services could expose us to intellectual property claims or mandatory compliance with open source software or other license terms. Our use of AI may also lead to novel cybersecurity or privacy risks which may adversely affect our operations and reputation. Several jurisdictions around the globe, including Europe and certain U.S. states, have proposed, enacted, or are considering laws governing the development and use of AI and machine learning technologies. For example, the European Union's Artificial Intelligence Act, which would apply beyond the European Union’s borders, came into effect in August 2024. It contains numerous requirements regarding the development and use of AI and imposes significant monetary fines. Further, countries and states are applying their data and consumer protection laws to AI technologies, and particularly generative AI and interactive chatbots. In addition, the Federal Trade Commission has required other companies to disgorge valuable insights or trainings generated through the use of AI or machine learning technologies where they allege the company has violated privacy and consumer protection laws. Compliance with regulations as well as social and ethical standards relating to AI may require significant research and development costs as well as management and employee attention. Any actual or perceived failure to comply with these laws, regulations or ethical standards could include severe penalties, reputational harm, and slow adoption of AI in our products and services. In addition, our business may be disrupted if any of the third-party AI services we use become unavailable due to extended outages or commercially unreasonable terms of service.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3" w:name="page54"/>
    <w:bookmarkEnd w:id="5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the third-parties with whom we work are subject to stringent and changing laws, regulations, standards, and contractual obligations related to data privacy and security. Actual or perceived failure by us or the third-parties with whom we work to comply with such laws, regulations, standards, or contractual obligations could harm our business.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legal, contractual and other applicable obligations regarding the protection and appropriate use of sensitive information that we and the third-parties with whom we work process. We are subject to a variety of federal, state, local and foreign laws, directives, regulations, and industry standards, relating to the collection, use, retention, security, disclosure, transfer and other processing of personal information. The regulatory framework for and users' expectations around privacy and security issues worldwide is rapidly evolving and as a result, implementation standards and enforcement practices are likely to remain uncertain for the foreseeable future resulting in possible significant operational costs for compliance and risk to our business. In addition, new technologies we use in our products or in our business, like AI and machine learning, may also subject us to new or enhanced governmental or regulatory scrutiny, litigation, ethical concerns, or other complications that could adversely affect our business, reputation, or financial results.</w:t>
      </w:r>
    </w:p>
    <w:p>
      <w:pPr>
        <w:spacing w:after="0" w:line="1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Internationally, nearly every jurisdiction in which we operate has established its own data security and privacy legal framework with which we, the third-parties with whom we work, or our customers must comply. For example, the European Union's General Data Protection Regulation, or EU GDPR, and the United Kingdom's General Data Protection Regulation, or UK GDPR, contain numerous requirements and changes from previously existing law, including more robust obligations on data processors and heavier documentation requirements for data protection compliance programs by companies and data protection authorities. Under both the EU GDPR and UK GDPR, companies may face temporary or definitive bans on data processing and other corrective actions, significant monetary fines, and private litigation related to processing of personal data brought by classes of data subjects or consumer protection organizations authorized at law to represent their interests.</w:t>
      </w:r>
    </w:p>
    <w:p>
      <w:pPr>
        <w:spacing w:after="0" w:line="189"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Certain jurisdictions impose regulatory obligations focused on cybersecurity resilience, system availability, and incident response. For example, in the European Union, the Network and Information Security Directive (EU) 2022/2555 (“NIS2”), and in the United Kingdom, the Network and Information Systems Regulations 2018, establish requirements related to risk management, security incident reporting, and business continuity for certain entities. Failure to comply with these frameworks may result in significant administrative fines, enforcement actions, and operational restrictions.</w:t>
      </w:r>
    </w:p>
    <w:p>
      <w:pPr>
        <w:spacing w:after="0" w:line="17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Europe and other jurisdictions have enacted laws related to data storage location, cross-border personal data transfers, and data portability. For example, the European Economic Area (EEA) and the United Kingdom have significantly restricted the transfer of personal data to the United States and other countries whose privacy laws it generally believes are inadequate. Although there are currently various mechanisms that may be used to transfer personal data from the EEA and United Kingdom to the United States in compliance with law, such as the EEA standard contractual clauses, the United Kingdom’s International Data Transfer Agreement/Addendum, and the EU-U.S. Data Privacy Framework and the United Kingdom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Additionally, the EU Data Act introduces new obligations related to data portability and services switching, which introduces operational complexities and infrastructure, and may increase our compliance and operational costs.</w:t>
      </w:r>
    </w:p>
    <w:p>
      <w:pPr>
        <w:spacing w:after="0" w:line="18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For example, Brazil enacted the General Data Protection Law, New Zealand enacted the New Zealand Privacy Act, Australia enacted the Australia Privacy Act, China enacted its Personal Information Protection Law, Canada has enacted the Personal Information Protection and Electronic Documents Act, and various related provincial laws and India enacted the Information Technology Act.</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are unable to implement a valid compliance mechanism for cross-border personal information transfers, we may face increased exposure to regulatory actions, substantial fines and injunctions against processing or transferring personal information from Europe or elsewhere. Inability to import personal information from other jurisdictions to the United States may significantly and negatively impact our business operations, including by lowering sales on our platform due to the difficulty of establishing a lawful mechanism for personal information transfers out of Europe or other jurisdictions, or requiring us to increase our data processing capabilities in Europe or elsewhere at significant expense. Some European regulators have ordered certain companies to suspend or permanently cease certain transfers out of Europe for allegedly violating the GDPR’s cross-border data transfer limitations.</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Additionally, European legislative proposals and present laws and regulations apply to cookies and similar tracking technologies, electronic communications, and marketing. In the EU and the United Kingdom, regulators are increasingly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4" w:name="page55"/>
    <w:bookmarkEnd w:id="54"/>
    <w:p>
      <w:pPr>
        <w:jc w:val="both"/>
        <w:spacing w:after="0" w:line="254" w:lineRule="auto"/>
        <w:rPr>
          <w:sz w:val="20"/>
          <w:szCs w:val="20"/>
          <w:color w:val="auto"/>
        </w:rPr>
      </w:pPr>
      <w:r>
        <w:rPr>
          <w:rFonts w:ascii="Times New Roman" w:cs="Times New Roman" w:eastAsia="Times New Roman" w:hAnsi="Times New Roman"/>
          <w:sz w:val="18"/>
          <w:szCs w:val="18"/>
          <w:color w:val="auto"/>
        </w:rPr>
        <w:t>focusing on compliance with requirements related to the online behavioral advertising ecosystem and requirements around consent and have issued significant fines when consent was not obtained. It is anticipated that the ePrivacy Regulation will replace the current national laws that implement the ePrivacy Directive that governs electronic communications. Outside of Europe, other laws and regulations, including legislative proposals, individual behavior and industry practices are increasingly resistant to the use of personal information to deliver targeted advertising, making certain online advertising activities more difficult and subject to additional scrutiny. For example, the California Consumer Privacy Act, or CCPA, grants California residents the right to opt-out of a company’s sharing of personal information for cross-context behavioral advertising purposes. Other comprehensive U.S. state privacy laws extend similar rights to residents. As a result of these developments, we may be required to change the way we market our products, which would impair our ability to reach new or existing customers.</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Complying with these and other applicable laws may cause us to incur substantial operational costs or require us to change our business practices. Despite our efforts to bring practices into compliance with all applicable laws,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EEA to maintain certain customer data (which may include personal information) originating from the EEA, we may find it necessary to establish additional systems and processes to maintain such data in the EEA, which may involve substantial expense and distraction from other aspects of our business.</w:t>
      </w:r>
    </w:p>
    <w:p>
      <w:pPr>
        <w:spacing w:after="0" w:line="1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Domestic laws in this area are also complex and developing rapidly, and we are, or may become, subject to numerous U.S. data privacy and security laws. In the United States, laws governing data privacy and security include those promulgated under the authority of the Federal Trade Commission Act, the Electronic Communications Privacy Act, the Computer Fraud and Abuse Act, the CCPA, HIPAA, and numerous other state and federal laws relating to privacy and data security. Many state legislatures have adopted legislation that regulates how businesses operate online, including measures relating to privacy, data security and data breaches. Laws in all 50 states require businesses to provide notice to customers whose personal information has been disclosed as a result of certain data breaches. The laws are not consistent, and compliance in the event of a widespread data breach is costly. States are also constantly amending existing laws, requiring attention to frequently changing legal requirements.</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CCPA, which became effective on January 1, 2020, gives California residents (including consumers, employees, job applicants and business representatives) expanded rights to access and delete their personal information, opt out of the sale of personal information, and receive detailed information about how their personal information is used. The CCPA provides a private right of action and statutory damages for certain data breaches and may increase our compliance costs and potential liability with respect to other personal information we collect about California residents. In addition, the amendments to the CCPA made by the California Privacy Rights Act, or the CPRA, went into effect on January 1, 2023. The CPRA amended the CCPA to give California residents the ability to limit the use of their sensitive personal information, provide additional penalties for CPRA violations concerning California residents under the age of 16, and established a new California Privacy Protection Agency to implement and enforce the law. These changes to the CCPA could impact our business activities depending on how they are interpreted. Many other states have enacted or proposed comprehensive privacy laws, which either have gone into effect or are expected to go into effect over the next several years. These laws exemplify the vulnerability of our business to the evolving regulatory environment related to the protection of personal information.</w:t>
      </w:r>
    </w:p>
    <w:p>
      <w:pPr>
        <w:spacing w:after="0" w:line="19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mass arbitration demands, regulatory investigations and imprisonment of company officials,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 with, and other burdens imposed by, the laws, regulations, and contractual obligations that are applicable to the businesses of our customers may limit the use and adoption of, and reduce the overall demand for, our products. Privacy and data security concerns, whether valid or not valid, may inhibit market adoption of our products,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5" w:name="page56"/>
    <w:bookmarkEnd w:id="55"/>
    <w:p>
      <w:pPr>
        <w:jc w:val="both"/>
        <w:spacing w:after="0" w:line="282" w:lineRule="auto"/>
        <w:rPr>
          <w:sz w:val="20"/>
          <w:szCs w:val="20"/>
          <w:color w:val="auto"/>
        </w:rPr>
      </w:pPr>
      <w:r>
        <w:rPr>
          <w:rFonts w:ascii="Times New Roman" w:cs="Times New Roman" w:eastAsia="Times New Roman" w:hAnsi="Times New Roman"/>
          <w:sz w:val="18"/>
          <w:szCs w:val="18"/>
          <w:color w:val="auto"/>
        </w:rPr>
        <w:t>particularly in certain industries and foreign countries. If we are not able to adjust to these changing laws, regulations, and contractual obligations, our business may be harmed.</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publicly post our policies and other documentation regarding our practices concerning the collection, processing, use, transfer, and disclosure of data. Although we endeavor to comply with our published policies and documentation, we may 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 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 obligations to third parties related to privacy, information security, including contractual obligations to indemnify and hold harmless third parties from the costs or consequences of non-compliance with data protection laws or other obligations.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government entities and highly regulated organizations are subject to a number of challenges and risks.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portion of our sales are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which may restrict our ability to sell into the government sector until we are able to comply with the revised contracting requirements. Government demand and payment for our products are affected by public sector budgetary cycles and funding authorizations, with funding reductions or delays adversely affecting public sector demand for our products.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6" w:name="page57"/>
    <w:bookmarkEnd w:id="5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and in the future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environmental, social, and governance practices and disclosures.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continues to be a focus from certain regulators, investors and other stakeholders concerning environmental, social, and governance, or ESG, matters, both in the United States and internationally. In response, we are in the process of evaluating and developing our ESG practices. Any of our current or future ESG practices and initiatives, if any, could be difficult to achieve and costly to implement. Furthermore, if these practices are not perceived to be adequate, or if the initiatives and positions we take (or choose not to take) on ESG issues are unpopular with some of our employees, customers or potential customers, our reputation could be harmed, which could negatively impact our ability to attract or retain employees or customers.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Standards for tracking and reporting ESG matters continue to evolve. Our interpretation or application of frameworks and standards may change from time to time or differ from those of others. This may result in a lack of consistent or meaningful comparative data from period to period or between us and other companies in the same industry. In addition, our processes and controls may not comply with evolving standards for identifying, measuring and reporting ESG metrics, including ESG-related disclosures that may be required by various regulators, and such standards may change over time, which could result in significant revisions to our ESG metrics. New legal and regulatory ESG requirements and disclosures in the United States,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7" w:name="page58"/>
    <w:bookmarkEnd w:id="57"/>
    <w:p>
      <w:pPr>
        <w:jc w:val="both"/>
        <w:spacing w:after="0" w:line="282" w:lineRule="auto"/>
        <w:rPr>
          <w:sz w:val="20"/>
          <w:szCs w:val="20"/>
          <w:color w:val="auto"/>
        </w:rPr>
      </w:pPr>
      <w:r>
        <w:rPr>
          <w:rFonts w:ascii="Times New Roman" w:cs="Times New Roman" w:eastAsia="Times New Roman" w:hAnsi="Times New Roman"/>
          <w:sz w:val="18"/>
          <w:szCs w:val="18"/>
          <w:color w:val="auto"/>
        </w:rPr>
        <w:t>Europe and elsewhere may lead to significant compliance costs, may heighten scrutiny of our ESG practices and may require us to change our current practices.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December 31, 2025, we have approximately $340.2 million and $474.2 million of net operating loss carryforwards, or NOLs, for federal and state income tax purposes, respectively, which begin to expire in 2028 for state purposes if not utilized. Certain of these NOLs are attributable to entities that we have acquired which are subject to annual limitation under Section 382 of the Internal Revenue Code of 1986, as amended, or the Code, as discussed below. We are evaluating the impact of any Section 382 limitation on our utilization of our NOLs. Unused U.S. federal NOLs for taxable years beginning before January 1, 2018, may be carried forward to offset future taxable income, if any, until such unused NOLs expire. Under current law, U.S. federal NOLs incurred in taxable years after December 31, 2017, can be carried forward indefinitely, but the deductibility of such U.S. federal NOLs in a particular taxable year is limited to 80% of taxable income in such year. A lack of future taxable income would adversely affect our ability to utilize portions of these NOLs before they expire.</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general, under Sections 382 and 383 of the Code, a corporation that undergoes an “ownership change” (as defined under Section 382 of the Code and applicable Treasury Regulations) is subject to limitations on its ability to utilize its pre-change NOLs and tax credits to offset post-change taxable income or taxes. Our ability to utilize NOLs and tax credits of companies that we have acquired or may acquire in the future may be subject to limitations. Furthermore, if we generate NOLs in the future, and we experience a future ownership change under Section 382 of the Code, our ability to utilize our NOLs and tax credits to offset our income may be subject to limitation. There is also a risk that due to regulatory changes, such as suspensions on the use of NOLs or other unforeseen reasons, our future NOLs or the NOLs of companies that we have acquired or may acquire in the future could expire or otherwise be unavailable to reduce future income tax liabilities, including for state tax purposes. For these reasons, we may not be able to utilize NOLs and tax credits that are or may in the future be reflected on our balance sheets, even if we attain profitability, which could potentially result in increased future tax liability to us and could adversely affect our operating results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an adverse effect on our 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effective tax rate or tax liability could change due to several factors, including:</w:t>
      </w:r>
    </w:p>
    <w:p>
      <w:pPr>
        <w:spacing w:after="0" w:line="117" w:lineRule="exact"/>
        <w:rPr>
          <w:sz w:val="20"/>
          <w:szCs w:val="20"/>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including changes under the U.S. Tax Cuts Jobs Act, the Inflation Reduction Act, and the One Big Beautiful Bill Act (OBBBA);</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substantiate and utilize research and development tax credits to offset our future tax liabilities, taking into account any limitations under Section 382 of the Code;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implementation of the Organization for Economic Co-operation and Development’s (OECD) international tax framework, including the Pillar Two minimum tax regime;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58" w:name="page59"/>
    <w:bookmarkEnd w:id="58"/>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OECD's Pillar Two model rules introduced a global minimum tax of 15%. These model rules have been adopted by various governments around the world, some of which are effective for tax periods beginning on or after December 31, 2024. On January 5, 2026, the OECD released new administrative guidance outlining a “side-by-side” arrangement that may exempt our U.S. operations from certain global minimum tax rules effective for fiscal years beginning on or after January 1, 2026. While this arrangement may provide relief for our U.S. operations, the broader adoption of Pillar Two rules globally could adversely affect our results of operations. There is no material impact on our financial statements for the tax period ending September 30, 2026.</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will continue to monitor these developments and pending legislation, and evaluate any potential impact on our results of operations. Any of these developments could adversely affect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GAAP is subject to interpretation by the Financial Accounting Standards Board, the SEC and various bodies formed to promulgate and interpret applicable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unaudited condensed consolidated financial statements and accompanying notes. We base our estimates on historical experience and on various other assumptions that we believe to be reasonable under the circumstances, as described in Note 2 in the Notes to Consolidated Financial Statements included in “Part II, Item 8. Financial Statements and Supplementary Data” of our Annual Report on Form 10-K. The results of these estimates form the basis for making judgments about the carrying values of assets, liabilities and equity, and the amount of revenue and expenses that are not readily apparent from other sources. Significant estimates and judgments involve revenue recognition, business combinations, and internal-use software development costs.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obtain, maintain, protect and enforce our intellectual property rights, including our proprietary technology, know-how and our brand. We rely on a combination of trademarks, trade secrets, patents, copyrights,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processes, including re-examination, inter partes review, interference and derivation proceedings and equivalent proceedings in foreign jurisdictions (e.g., opposition proceedings) or litigation. Despite our pending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spacing w:after="0" w:line="252" w:lineRule="auto"/>
        <w:rPr>
          <w:sz w:val="20"/>
          <w:szCs w:val="20"/>
          <w:color w:val="auto"/>
        </w:rPr>
      </w:pPr>
      <w:r>
        <w:rPr>
          <w:rFonts w:ascii="Times New Roman" w:cs="Times New Roman" w:eastAsia="Times New Roman" w:hAnsi="Times New Roman"/>
          <w:sz w:val="18"/>
          <w:szCs w:val="18"/>
          <w:color w:val="auto"/>
        </w:rPr>
        <w:t>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protections may not be available to us in every country in which our products are available. For example, as we have expanded internationally, we have been unable to register and obtain the exclusive right to use the Datadog trademark in certain jurisdictions, including certain European countries outside of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19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been and may continue to be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0" w:name="page61"/>
    <w:bookmarkEnd w:id="60"/>
    <w:p>
      <w:pPr>
        <w:jc w:val="both"/>
        <w:spacing w:after="0" w:line="254" w:lineRule="auto"/>
        <w:rPr>
          <w:sz w:val="20"/>
          <w:szCs w:val="20"/>
          <w:color w:val="auto"/>
        </w:rPr>
      </w:pPr>
      <w:r>
        <w:rPr>
          <w:rFonts w:ascii="Times New Roman" w:cs="Times New Roman" w:eastAsia="Times New Roman" w:hAnsi="Times New Roman"/>
          <w:sz w:val="18"/>
          <w:szCs w:val="18"/>
          <w:color w:val="auto"/>
        </w:rPr>
        <w:t>companies or other adverse patent owners that have no relevant product revenue, and therefore, our patent portfolio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have been or may continue to be required to provide indemnification, may require us to do one or more of the following:</w:t>
      </w:r>
    </w:p>
    <w:p>
      <w:pPr>
        <w:spacing w:after="0" w:line="192" w:lineRule="exact"/>
        <w:rPr>
          <w:sz w:val="20"/>
          <w:szCs w:val="20"/>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products or services that incorporate the intellectual property rights that we allegedly infringe, misappropriate or violate;</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or at all, to sell or use the relevant technology; or</w:t>
      </w:r>
    </w:p>
    <w:p>
      <w:pPr>
        <w:spacing w:after="0" w:line="225" w:lineRule="exact"/>
        <w:rPr>
          <w:rFonts w:ascii="Times New Roman" w:cs="Times New Roman" w:eastAsia="Times New Roman" w:hAnsi="Times New Roman"/>
          <w:sz w:val="18"/>
          <w:szCs w:val="18"/>
          <w:color w:val="auto"/>
        </w:rPr>
      </w:pPr>
    </w:p>
    <w:p>
      <w:pPr>
        <w:ind w:firstLine="494"/>
        <w:spacing w:after="0" w:line="282" w:lineRule="auto"/>
        <w:tabs>
          <w:tab w:leader="none" w:pos="6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products to avoid infringement, misappropriation or violation, which could be costly, time-consuming or impossible.</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products, which could negatively affect our ability to sell our services or subject us to litigation or other actions.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International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operations are international in scope, and we plan further geographic expansion, creating a variety of operational challenges.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Revenue, as determined based on the billing address of our customers, from regions outside of North America was 27% and 29% for the nine months ended September 30, 2026 and 2025, respectively. Beyond North America, we now have sales presence internationally, including in Amsterdam, Dublin, London, Paris, Seoul, Singapore, Sydney, and Tokyo.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September 30, 2026, approximately 46% of our full-time employees were located outside of the United States, 33%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117" w:lineRule="exact"/>
        <w:rPr>
          <w:sz w:val="20"/>
          <w:szCs w:val="20"/>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availability and adoption of cloud and hybrid IT infrastructures by international businesses;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for specific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trade relations, sanctions, regulations, or laws including changes in trade policies, such as trade wars, tariffs or other trade restrictions or the threat of such actions;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regulatory requirements, or tax laws;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privacy and data security and the unauthorized use of, or access to, commercial and personal information, particularly in Europe and the United Kingdom;</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6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and legal compliance costs associated with international operations;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terrorist activities and military conflict, including the war in Ukraine and conflicts in the Middle East;</w:t>
      </w:r>
    </w:p>
    <w:p>
      <w:pPr>
        <w:spacing w:after="0" w:line="117" w:lineRule="exact"/>
        <w:rPr>
          <w:rFonts w:ascii="Times New Roman" w:cs="Times New Roman" w:eastAsia="Times New Roman" w:hAnsi="Times New Roman"/>
          <w:sz w:val="18"/>
          <w:szCs w:val="18"/>
          <w:color w:val="auto"/>
        </w:rPr>
      </w:pPr>
    </w:p>
    <w:p>
      <w:pPr>
        <w:ind w:left="980" w:right="34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outbreak of a contagious disease, which may cause us or our third-party providers and/or customers to temporarily suspend our or their respective operations in the affected city or country;</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FCPA, U.S. bribery laws, the UK Bribery Act, and similar laws and regulations in other jurisdictions;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2" w:name="page63"/>
    <w:bookmarkEnd w:id="62"/>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results of operations.</w:t>
      </w:r>
    </w:p>
    <w:p>
      <w:pPr>
        <w:spacing w:after="0" w:line="31" w:lineRule="exact"/>
        <w:rPr>
          <w:sz w:val="20"/>
          <w:szCs w:val="20"/>
          <w:color w:val="auto"/>
        </w:rPr>
      </w:pPr>
    </w:p>
    <w:p>
      <w:pPr>
        <w:ind w:right="140" w:firstLine="486"/>
        <w:spacing w:after="0" w:line="241" w:lineRule="auto"/>
        <w:rPr>
          <w:sz w:val="20"/>
          <w:szCs w:val="20"/>
          <w:color w:val="auto"/>
        </w:rPr>
      </w:pPr>
      <w:r>
        <w:rPr>
          <w:rFonts w:ascii="Times New Roman" w:cs="Times New Roman" w:eastAsia="Times New Roman" w:hAnsi="Times New Roman"/>
          <w:sz w:val="18"/>
          <w:szCs w:val="18"/>
          <w:color w:val="auto"/>
        </w:rPr>
        <w:t>Our sales contracts are denominated in U.S. dollars, and therefore, our revenue is not directly subject to foreign currency risk. However, a strengthening of the U.S. dollar could increase the real cost of our products and platform capabilities to our customers outside of the United States, which could adversely affect our results of operations. In addition, an increasing amount of our operating expenses are incurred outside the United States. These operating expenses are denominated in foreign currencies and are subject to fluctuations due to changes in foreign currency exchange rates. Although we have entered into and may in the future enter into hedging arrangements to manage foreign currency exchange rate fluctuations, such activity may not completely eliminate fluctuations in our operating results due to currency exchange rate changes. Hedging arrangements are inherently risky, and we have limited experience establishing hedging programs, which could expose us to additional risks that could adversely affect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subject us to potential adverse tax consequences.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54" w:lineRule="exact"/>
        <w:rPr>
          <w:sz w:val="20"/>
          <w:szCs w:val="20"/>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 or the financial guidance we provide to the public;</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subscriptions to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software;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Additional risks are described in “Risks Associated with</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63" w:name="page64"/>
    <w:bookmarkEnd w:id="63"/>
    <w:p>
      <w:pPr>
        <w:jc w:val="both"/>
        <w:spacing w:after="0" w:line="261" w:lineRule="auto"/>
        <w:rPr>
          <w:sz w:val="20"/>
          <w:szCs w:val="20"/>
          <w:color w:val="auto"/>
        </w:rPr>
      </w:pPr>
      <w:r>
        <w:rPr>
          <w:rFonts w:ascii="Times New Roman" w:cs="Times New Roman" w:eastAsia="Times New Roman" w:hAnsi="Times New Roman"/>
          <w:sz w:val="18"/>
          <w:szCs w:val="18"/>
          <w:color w:val="auto"/>
        </w:rPr>
        <w:t>our Growth—Unfavorable conditions in our industry or the global economy, or reductions in information technology spending, could limit our ability to grow our business and negatively affect our results of operations”.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As of September 30, 2026, our outstanding shares of Class B common stock represented approximately 41% of the voting power of our outstanding capital stock. As a result, the holders of our Class B common stock, which includes certain of our directors, executive officers and their affiliates,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limits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has had and will continue to have the effect, over time, of increasing the relative voting power of those holders of Class B common stock who retain their Class B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certain index providers have in the past imposed restrictions on including companies with multiple class share structures in certain of their indexes.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particularly sales by our directors, executive officers, and significant stockholders, or the perception that these sales might occur, could depress the market price of our Class A common stock and could impair our ability to raise capital through the sale of additional equity securities. We are unable to predict the timing of or the effect that such sales may have on the prevailing market price of our Class A common stock.</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continue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 convertible debt securities, the new equity securities could have rights senior to those of our Class A common stock. For example, if we elect to settle our conversion obligation under our 0.00% Convertible Senior Notes due 2029, or the 2029 Notes, in shares of our Class A common stock or a combination of cash and shares of our Class A common stock, the issuance of such</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Class A common stock may dilute the ownership interests of our stockholders and sales in the public market could adversely affect prevailing market prices.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will be heavily influenced by the way analysts interpret our financial information and other disclosures. We do not have control over these analysts. If securities or industry analysts cease coverage of us,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or analysts or public investors, analysts could downgrade our Class A common stock or publish unfavorable research on us. As a result, demand for our Class A common stock could decrease, which might cause our stock price to decline and could decrease the trading volume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Nevada law could make an acquisition of our company more difficult, limit attempts by our stockholders to replace or remove our current management and limit the market price of our Class A common stock.</w:t>
      </w:r>
    </w:p>
    <w:p>
      <w:pPr>
        <w:spacing w:after="0" w:line="15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Provisions in our articles of incorporation and bylaws may have the effect of delaying or preventing a change of control or changes in our management. Our articles of incorporation and bylaws include provisions that:</w:t>
      </w:r>
    </w:p>
    <w:p>
      <w:pPr>
        <w:spacing w:after="0" w:line="54" w:lineRule="exact"/>
        <w:rPr>
          <w:sz w:val="20"/>
          <w:szCs w:val="20"/>
          <w:color w:val="auto"/>
        </w:rPr>
      </w:pPr>
    </w:p>
    <w:p>
      <w:pPr>
        <w:ind w:left="98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5" w:name="page66"/>
    <w:bookmarkEnd w:id="65"/>
    <w:p>
      <w:pPr>
        <w:ind w:left="980" w:right="2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with or without cause upon the vote of at least 66 2/3% of our outstanding shares of voting stock entitled to vote thereon;</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voting stock entitled to vote thereon to amend our bylaws and certain provisions of our articles of incorporation.</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Any of the foregoing provisions could also limit the price that investors might be willing to pay in the future for shares of our Class A common stock, and such provisions could also deter potential acquirers of our company, thereby reducing the likelihood that holders of our Class A common stock would receive a premium for their shares of our Class A common stock in an acquisition.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articles of incorporation designates the Eighth Judicial Court of the State of Nevada in Clark County, Nevada and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articles of incorporation provides that the Eighth Judicial District Court of the State of Nevada in Clark County, Nevada is the exclusive forum for the following types of actions or proceedings under Nevada statutory or common law, unless the Company consents in writing to the selection of an alternative forum: any derivative action or proceeding brought on our behalf; any action asserting a breach of a fiduciary duty; any action asserting a claim against us arising pursuant to the Nevada Revised Statutes ("NRS"), our articles of incorporation, or our bylaws; or any action asserting a claim against us that is governed by the internal affairs doctrine. The provisions would not apply to suits brought to enforce a duty or liability created by the Exchange Act. In addition, our articles of incorporation provide that the federal district courts of the United States of America will be the exclusive forum for resolving any complaint asserting a cause of action arising under the Securities Act.</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Although NRS 78.046 permits the articles of incorporation or bylaws of a Nevada corporation to require, to the extent not inconsistent with any applicable jurisdictional requirements and the laws of the United States, that all or certain actions must be brought solely or exclusively in a specified court, a stockholder may nevertheless seek to bring a claim in a venue other than those designated in the exclusive forum provisions. In such instance, we would expect to vigorously assert the validity and enforceability of the exclusive forum provisions of our articles of incorporation. This may require significant additional costs associated with resolving such action in other jurisdictions, and there can be no assurance that the provisions will be enforced by a court in those other jurisdictions.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Outstanding Notes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issued the 2029 Notes in a private placement in December 2024. We may be required to use a substantial portion of our cash flows from operations to pay principal on our indebtedness. Our ability to make scheduled payments of the principal of or to refinance our indebtedness, including the 2029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the capital markets and our financial condition at such time. We may not be able to engage in any of these activities or engage in these activities on desirable terms, which could result in a default on our debt obligations.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may incur substantial additional debt in the future, subject to the restrictions contained in our future debt agreements, some of which may be secured debt. We are not restricted under the terms of the indenture governing the 2029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2029 Notes that could have the effect of diminishing our ability to make payments on the 2029 Notes when due.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2029 Notes may adversely affect our financial condition and operating results.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2029 Notes are convertible at the option of their holders prior to their scheduled maturity in the event one or more of the conditional conversion features of the 2029 Notes are triggered. If one or more holders elect to convert their 2029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2029 Notes, we could be required under applicable accounting rules to reclassify the outstanding principal of the 2029 Notes as a current rather than long-term liability, which would result in a material reduction of our net working capital.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2029 Notes and the market price of our Class A common stock.</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the pricing of the 2029 Notes, we entered into capped call transactions with the option counterparties. The capped call transactions cover, subject to customary adjustments substantially similar to those applicable to the 2029 Notes, the number of shares of our Class A common stock that initially underlie the 2029 Notes. The capped call transactions are generally expected to reduce the potential dilution to our Class A common stock upon any conversion of the 2029 Notes and/or offset any cash payments we are required to make in excess of the principal amount of converted 2029 Notes, as the case may be, with such reduction and/or offset subject to a cap. In connection with establishing their initial hedges of the capped call transactions, the option counterparties or their respective affiliates entered into various derivative transactions with respect to our Class A common stock and/or purchased shares of our Class A common stock concurrently with or shortly after the pricing of the 2029 Notes, including with certain investors in the 2029 Notes.</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the option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following the pricing of the 2029 Notes and prior to the maturity of the 2029 Notes. They are likely to do so during any observation period related to a conversion of the 2029 Notes, or, to the extent we exercise the relevant election under the capped call transactions following any repurchase or redemption of the 2029 Notes. This activity could also cause or avoid an increase or decrease in the market price of our Class A common stock or the trading price of the Notes. The potential effect, if any, of these transactions and activities on the market price of our Class A common stock or the trading price of the Notes will depend in part on market conditions and cannot be ascertained at this time. Any of these activities could adversely affect the value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option counterparties to the capped call transactions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and could adversely affect the option counterparties’ performance under the capped call transactions.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with an increase in the market price and in the volatility of our Class A common stock. In addition, upon a default by an option counterparty, we may suffer more dilution, the effect of which would not be compensated for, than we currently anticipate with respect to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7" w:name="page68"/>
    <w:bookmarkEnd w:id="67"/>
    <w:p>
      <w:pPr>
        <w:ind w:left="500" w:right="7360" w:hanging="492"/>
        <w:spacing w:after="0" w:line="500" w:lineRule="auto"/>
        <w:tabs>
          <w:tab w:leader="none" w:pos="33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Sales of Unregistered Equity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September 14, 2026, Olivier Pomel, our Chief Executive Officer and a member of our board of directors, terminated a previously disclosed trading plan intended to satisfy the affirmative defense conditions of Securities Exchange Act Rule 10b5-1(c), which had been entered into on September 15, 2025, was modified on December 15, 2025, and was set to expire on February 18, 2027. The terminated plan provided for the potential sale of up to 1,525,692 shares of Class A common stock.</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Company’s directors and officers (as defined in Rule 16a-1(f) under the Exchange Act) adopted written plans intended to satisfy the affirmative defense conditions of Securities Exchange Act Rule 10b5-1(c) for the sale of the Company’s securities as set forth in the table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60" w:type="dxa"/>
            <w:vAlign w:val="bottom"/>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460" w:type="dxa"/>
            <w:vAlign w:val="bottom"/>
            <w:vMerge w:val="restart"/>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720" w:type="dxa"/>
            <w:vAlign w:val="bottom"/>
            <w:vMerge w:val="restart"/>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9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Total Shares of Class A</w:t>
            </w:r>
          </w:p>
        </w:tc>
        <w:tc>
          <w:tcPr>
            <w:tcW w:w="1820" w:type="dxa"/>
            <w:vAlign w:val="bottom"/>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09"/>
        </w:trPr>
        <w:tc>
          <w:tcPr>
            <w:tcW w:w="1820" w:type="dxa"/>
            <w:vAlign w:val="bottom"/>
            <w:vMerge w:val="continue"/>
          </w:tcPr>
          <w:p>
            <w:pPr>
              <w:spacing w:after="0"/>
              <w:rPr>
                <w:sz w:val="9"/>
                <w:szCs w:val="9"/>
                <w:color w:val="auto"/>
              </w:rPr>
            </w:pPr>
          </w:p>
        </w:tc>
        <w:tc>
          <w:tcPr>
            <w:tcW w:w="24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960" w:type="dxa"/>
            <w:vAlign w:val="bottom"/>
            <w:vMerge w:val="restart"/>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Common Stock to be Sold</w:t>
            </w: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8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Adam Blitzer</w:t>
            </w:r>
          </w:p>
        </w:tc>
        <w:tc>
          <w:tcPr>
            <w:tcW w:w="246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rPr>
              <w:t>Chief Operating Officer</w:t>
            </w:r>
          </w:p>
        </w:tc>
        <w:tc>
          <w:tcPr>
            <w:tcW w:w="146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rPr>
              <w:t>Adoption</w:t>
            </w:r>
          </w:p>
        </w:tc>
        <w:tc>
          <w:tcPr>
            <w:tcW w:w="1720" w:type="dxa"/>
            <w:vAlign w:val="bottom"/>
            <w:shd w:val="clear" w:color="auto" w:fill="CCEEFF"/>
          </w:tcPr>
          <w:p>
            <w:pPr>
              <w:jc w:val="center"/>
              <w:ind w:left="162"/>
              <w:spacing w:after="0"/>
              <w:rPr>
                <w:sz w:val="20"/>
                <w:szCs w:val="20"/>
                <w:color w:val="auto"/>
              </w:rPr>
            </w:pPr>
            <w:r>
              <w:rPr>
                <w:rFonts w:ascii="Times New Roman" w:cs="Times New Roman" w:eastAsia="Times New Roman" w:hAnsi="Times New Roman"/>
                <w:sz w:val="16"/>
                <w:szCs w:val="16"/>
                <w:color w:val="auto"/>
              </w:rPr>
              <w:t>August 17, 2026</w:t>
            </w:r>
          </w:p>
        </w:tc>
        <w:tc>
          <w:tcPr>
            <w:tcW w:w="1960" w:type="dxa"/>
            <w:vAlign w:val="bottom"/>
            <w:shd w:val="clear" w:color="auto" w:fill="CCEEFF"/>
          </w:tcPr>
          <w:p>
            <w:pPr>
              <w:jc w:val="center"/>
              <w:ind w:right="24"/>
              <w:spacing w:after="0" w:line="230" w:lineRule="exact"/>
              <w:rPr>
                <w:sz w:val="20"/>
                <w:szCs w:val="20"/>
                <w:color w:val="auto"/>
              </w:rPr>
            </w:pPr>
            <w:r>
              <w:rPr>
                <w:rFonts w:ascii="Times New Roman" w:cs="Times New Roman" w:eastAsia="Times New Roman" w:hAnsi="Times New Roman"/>
                <w:sz w:val="16"/>
                <w:szCs w:val="16"/>
                <w:color w:val="auto"/>
                <w:w w:val="97"/>
              </w:rPr>
              <w:t>Up to 161,617</w:t>
            </w:r>
            <w:r>
              <w:rPr>
                <w:rFonts w:ascii="Times New Roman" w:cs="Times New Roman" w:eastAsia="Times New Roman" w:hAnsi="Times New Roman"/>
                <w:sz w:val="21"/>
                <w:szCs w:val="21"/>
                <w:color w:val="auto"/>
                <w:w w:val="97"/>
                <w:vertAlign w:val="superscript"/>
              </w:rPr>
              <w:t>(1)</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31, 2027</w:t>
            </w:r>
          </w:p>
        </w:tc>
        <w:tc>
          <w:tcPr>
            <w:tcW w:w="0" w:type="dxa"/>
            <w:vAlign w:val="bottom"/>
          </w:tcPr>
          <w:p>
            <w:pPr>
              <w:spacing w:after="0"/>
              <w:rPr>
                <w:sz w:val="1"/>
                <w:szCs w:val="1"/>
                <w:color w:val="auto"/>
              </w:rPr>
            </w:pPr>
          </w:p>
        </w:tc>
      </w:tr>
      <w:tr>
        <w:trPr>
          <w:trHeight w:val="250"/>
        </w:trPr>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Amit Agarwal</w:t>
            </w:r>
            <w:r>
              <w:rPr>
                <w:rFonts w:ascii="Times New Roman" w:cs="Times New Roman" w:eastAsia="Times New Roman" w:hAnsi="Times New Roman"/>
                <w:sz w:val="21"/>
                <w:szCs w:val="21"/>
                <w:color w:val="auto"/>
                <w:w w:val="95"/>
                <w:vertAlign w:val="superscript"/>
              </w:rPr>
              <w:t>(2)</w:t>
            </w:r>
          </w:p>
        </w:tc>
        <w:tc>
          <w:tcPr>
            <w:tcW w:w="246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rPr>
              <w:t>Director</w:t>
            </w:r>
          </w:p>
        </w:tc>
        <w:tc>
          <w:tcPr>
            <w:tcW w:w="146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rPr>
              <w:t>Adoption</w:t>
            </w:r>
          </w:p>
        </w:tc>
        <w:tc>
          <w:tcPr>
            <w:tcW w:w="172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rPr>
              <w:t>September 8, 2026</w:t>
            </w:r>
          </w:p>
        </w:tc>
        <w:tc>
          <w:tcPr>
            <w:tcW w:w="1960" w:type="dxa"/>
            <w:vAlign w:val="bottom"/>
          </w:tcPr>
          <w:p>
            <w:pPr>
              <w:jc w:val="center"/>
              <w:ind w:right="24"/>
              <w:spacing w:after="0"/>
              <w:rPr>
                <w:sz w:val="20"/>
                <w:szCs w:val="20"/>
                <w:color w:val="auto"/>
              </w:rPr>
            </w:pPr>
            <w:r>
              <w:rPr>
                <w:rFonts w:ascii="Times New Roman" w:cs="Times New Roman" w:eastAsia="Times New Roman" w:hAnsi="Times New Roman"/>
                <w:sz w:val="16"/>
                <w:szCs w:val="16"/>
                <w:color w:val="auto"/>
              </w:rPr>
              <w:t>100,000</w:t>
            </w:r>
          </w:p>
        </w:tc>
        <w:tc>
          <w:tcPr>
            <w:tcW w:w="182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rPr>
              <w:t>May 24, 2027</w:t>
            </w:r>
          </w:p>
        </w:tc>
        <w:tc>
          <w:tcPr>
            <w:tcW w:w="0" w:type="dxa"/>
            <w:vAlign w:val="bottom"/>
          </w:tcPr>
          <w:p>
            <w:pPr>
              <w:spacing w:after="0"/>
              <w:rPr>
                <w:sz w:val="1"/>
                <w:szCs w:val="1"/>
                <w:color w:val="auto"/>
              </w:rPr>
            </w:pPr>
          </w:p>
        </w:tc>
      </w:tr>
    </w:tbl>
    <w:p>
      <w:pPr>
        <w:jc w:val="both"/>
        <w:ind w:left="20" w:right="20" w:firstLine="6"/>
        <w:spacing w:after="0" w:line="264" w:lineRule="auto"/>
        <w:tabs>
          <w:tab w:leader="none" w:pos="223"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number of shares that will be sold under the Rule 10b5-1 trading plan will be reduced by the number of shares sold pursuant to the Company’s election under its equity incentive plans to require the satisfaction of tax withholding obligations realized upon the vesting of RSUs and PSUs to be funded by a sell-to-cover transaction. The number of Company shares to be sold to satisfy the Company’s tax withholding obligation is not known at this time as it is dependent on future events, including the future trading price of the Company’s shares. The amount also includes up to 51,882 shares subject to PSUs previously awarded to Mr. Blitzer that may vest and be released upon the satisfaction of the applicable performance conditions. The actual number of PSUs that will vest is not yet determinable.</w:t>
      </w:r>
    </w:p>
    <w:p>
      <w:pPr>
        <w:spacing w:after="0" w:line="2"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will be sold under a Rule 10b5-1 trading plan by the Agarwal 2019 Family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8" w:name="page69"/>
    <w:bookmarkEnd w:id="68"/>
    <w:p>
      <w:pPr>
        <w:ind w:left="55"/>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5" w:lineRule="exact"/>
        <w:rPr>
          <w:sz w:val="20"/>
          <w:szCs w:val="20"/>
          <w:color w:val="auto"/>
        </w:rPr>
      </w:pPr>
    </w:p>
    <w:tbl>
      <w:tblPr>
        <w:tblLayout w:type="fixed"/>
        <w:tblInd w:w="55"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5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2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204"/>
        </w:trPr>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Plan of Conversion of Datadog, Inc.</w:t>
              </w:r>
            </w:hyperlink>
          </w:p>
        </w:tc>
        <w:tc>
          <w:tcPr>
            <w:tcW w:w="1120" w:type="dxa"/>
            <w:vAlign w:val="bottom"/>
            <w:gridSpan w:val="8"/>
          </w:tcPr>
          <w:p>
            <w:pPr>
              <w:spacing w:after="0"/>
              <w:rPr>
                <w:sz w:val="17"/>
                <w:szCs w:val="17"/>
                <w:color w:val="auto"/>
              </w:rPr>
            </w:pPr>
          </w:p>
        </w:tc>
        <w:tc>
          <w:tcPr>
            <w:tcW w:w="1040" w:type="dxa"/>
            <w:vAlign w:val="bottom"/>
          </w:tcPr>
          <w:p>
            <w:pPr>
              <w:jc w:val="center"/>
              <w:ind w:right="75"/>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1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April 22, 2026</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Articles of Incorporation of Datadog, Inc.</w:t>
              </w:r>
            </w:hyperlink>
          </w:p>
        </w:tc>
        <w:tc>
          <w:tcPr>
            <w:tcW w:w="720" w:type="dxa"/>
            <w:vAlign w:val="bottom"/>
            <w:gridSpan w:val="6"/>
          </w:tcPr>
          <w:p>
            <w:pPr>
              <w:spacing w:after="0"/>
              <w:rPr>
                <w:sz w:val="21"/>
                <w:szCs w:val="21"/>
                <w:color w:val="auto"/>
              </w:rPr>
            </w:pPr>
          </w:p>
        </w:tc>
        <w:tc>
          <w:tcPr>
            <w:tcW w:w="104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22, 2026</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Bylaws of Datadog, Inc.</w:t>
              </w:r>
            </w:hyperlink>
          </w:p>
        </w:tc>
        <w:tc>
          <w:tcPr>
            <w:tcW w:w="104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22, 2026</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600" w:type="dxa"/>
            <w:vAlign w:val="bottom"/>
            <w:gridSpan w:val="4"/>
          </w:tcPr>
          <w:p>
            <w:pPr>
              <w:spacing w:after="0"/>
              <w:rPr>
                <w:sz w:val="21"/>
                <w:szCs w:val="21"/>
                <w:color w:val="auto"/>
              </w:rPr>
            </w:pP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4"/>
          </w:tcPr>
          <w:p>
            <w:pPr>
              <w:spacing w:after="0"/>
              <w:rPr>
                <w:sz w:val="17"/>
                <w:szCs w:val="17"/>
                <w:color w:val="auto"/>
              </w:rPr>
            </w:pPr>
          </w:p>
        </w:tc>
        <w:tc>
          <w:tcPr>
            <w:tcW w:w="40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20" w:type="dxa"/>
            <w:vAlign w:val="bottom"/>
            <w:gridSpan w:val="9"/>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4"/>
          </w:tcPr>
          <w:p>
            <w:pPr>
              <w:spacing w:after="0"/>
              <w:rPr>
                <w:sz w:val="17"/>
                <w:szCs w:val="17"/>
                <w:color w:val="auto"/>
              </w:rPr>
            </w:pPr>
          </w:p>
        </w:tc>
        <w:tc>
          <w:tcPr>
            <w:tcW w:w="40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20" w:type="dxa"/>
            <w:vAlign w:val="bottom"/>
            <w:gridSpan w:val="9"/>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600" w:type="dxa"/>
            <w:vAlign w:val="bottom"/>
            <w:gridSpan w:val="4"/>
          </w:tcPr>
          <w:p>
            <w:pPr>
              <w:spacing w:after="0"/>
              <w:rPr>
                <w:sz w:val="21"/>
                <w:szCs w:val="21"/>
                <w:color w:val="auto"/>
              </w:rPr>
            </w:pP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9"/>
          </w:tcPr>
          <w:p>
            <w:pPr>
              <w:spacing w:after="0"/>
              <w:rPr>
                <w:sz w:val="17"/>
                <w:szCs w:val="17"/>
                <w:color w:val="auto"/>
              </w:rPr>
            </w:pPr>
          </w:p>
        </w:tc>
        <w:tc>
          <w:tcPr>
            <w:tcW w:w="36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7"/>
            <w:shd w:val="clear" w:color="auto" w:fill="0000FF"/>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9"/>
          </w:tcPr>
          <w:p>
            <w:pPr>
              <w:spacing w:after="0"/>
              <w:rPr>
                <w:sz w:val="17"/>
                <w:szCs w:val="17"/>
                <w:color w:val="auto"/>
              </w:rPr>
            </w:pPr>
          </w:p>
        </w:tc>
        <w:tc>
          <w:tcPr>
            <w:tcW w:w="36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0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w:t>
            </w: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1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and contained in Exhibit 101)</w:t>
            </w:r>
          </w:p>
        </w:tc>
        <w:tc>
          <w:tcPr>
            <w:tcW w:w="1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45" w:lineRule="exact"/>
        <w:rPr>
          <w:sz w:val="20"/>
          <w:szCs w:val="20"/>
          <w:color w:val="auto"/>
        </w:rPr>
      </w:pPr>
    </w:p>
    <w:p>
      <w:pPr>
        <w:ind w:left="335" w:right="140" w:hanging="335"/>
        <w:spacing w:after="0" w:line="241" w:lineRule="auto"/>
        <w:tabs>
          <w:tab w:leader="none" w:pos="335"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4"/>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55"/>
          </w:cols>
          <w:pgMar w:left="265" w:top="1305" w:right="37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DATADOG, INC.</w:t>
            </w:r>
          </w:p>
        </w:tc>
      </w:tr>
      <w:tr>
        <w:trPr>
          <w:trHeight w:val="49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27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8"/>
        </w:trPr>
        <w:tc>
          <w:tcPr>
            <w:tcW w:w="3580" w:type="dxa"/>
            <w:vAlign w:val="bottom"/>
          </w:tcPr>
          <w:p>
            <w:pPr>
              <w:spacing w:after="0"/>
              <w:rPr>
                <w:sz w:val="18"/>
                <w:szCs w:val="18"/>
                <w:color w:val="auto"/>
              </w:rPr>
            </w:pPr>
          </w:p>
        </w:tc>
        <w:tc>
          <w:tcPr>
            <w:tcW w:w="27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Olivier Pomel</w:t>
            </w:r>
          </w:p>
        </w:tc>
      </w:tr>
      <w:tr>
        <w:trPr>
          <w:trHeight w:val="180"/>
        </w:trPr>
        <w:tc>
          <w:tcPr>
            <w:tcW w:w="3580" w:type="dxa"/>
            <w:vAlign w:val="bottom"/>
          </w:tcPr>
          <w:p>
            <w:pPr>
              <w:spacing w:after="0"/>
              <w:rPr>
                <w:sz w:val="15"/>
                <w:szCs w:val="15"/>
                <w:color w:val="auto"/>
              </w:rPr>
            </w:pPr>
          </w:p>
        </w:tc>
        <w:tc>
          <w:tcPr>
            <w:tcW w:w="2760" w:type="dxa"/>
            <w:vAlign w:val="bottom"/>
          </w:tcPr>
          <w:p>
            <w:pPr>
              <w:ind w:left="178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5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9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27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8"/>
        </w:trPr>
        <w:tc>
          <w:tcPr>
            <w:tcW w:w="3580" w:type="dxa"/>
            <w:vAlign w:val="bottom"/>
          </w:tcPr>
          <w:p>
            <w:pPr>
              <w:spacing w:after="0"/>
              <w:rPr>
                <w:sz w:val="18"/>
                <w:szCs w:val="18"/>
                <w:color w:val="auto"/>
              </w:rPr>
            </w:pPr>
          </w:p>
        </w:tc>
        <w:tc>
          <w:tcPr>
            <w:tcW w:w="27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Obstler</w:t>
            </w:r>
          </w:p>
        </w:tc>
      </w:tr>
      <w:tr>
        <w:trPr>
          <w:trHeight w:val="180"/>
        </w:trPr>
        <w:tc>
          <w:tcPr>
            <w:tcW w:w="3580" w:type="dxa"/>
            <w:vAlign w:val="bottom"/>
          </w:tcPr>
          <w:p>
            <w:pPr>
              <w:spacing w:after="0"/>
              <w:rPr>
                <w:sz w:val="15"/>
                <w:szCs w:val="15"/>
                <w:color w:val="auto"/>
              </w:rPr>
            </w:pPr>
          </w:p>
        </w:tc>
        <w:tc>
          <w:tcPr>
            <w:tcW w:w="2760" w:type="dxa"/>
            <w:vAlign w:val="bottom"/>
          </w:tcPr>
          <w:p>
            <w:pPr>
              <w:ind w:left="178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5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089"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Olivier Pomel, certify that:</w:t>
      </w:r>
    </w:p>
    <w:p>
      <w:pPr>
        <w:spacing w:after="0" w:line="225" w:lineRule="exact"/>
        <w:rPr>
          <w:sz w:val="20"/>
          <w:szCs w:val="20"/>
          <w:color w:val="auto"/>
        </w:rPr>
      </w:pPr>
    </w:p>
    <w:p>
      <w:pPr>
        <w:ind w:left="580" w:hanging="572"/>
        <w:spacing w:after="0"/>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September 30, 2026;</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5840" w:val="left"/>
          <w:tab w:leader="none" w:pos="710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34290</wp:posOffset>
            </wp:positionV>
            <wp:extent cx="31032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5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Olivier Pomel</w:t>
      </w:r>
    </w:p>
    <w:p>
      <w:pPr>
        <w:spacing w:after="0" w:line="6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Executive Officer and Director</w:t>
      </w:r>
    </w:p>
    <w:p>
      <w:pPr>
        <w:spacing w:after="0" w:line="6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88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Obstler, certify that:</w:t>
      </w:r>
    </w:p>
    <w:p>
      <w:pPr>
        <w:spacing w:after="0" w:line="225" w:lineRule="exact"/>
        <w:rPr>
          <w:sz w:val="20"/>
          <w:szCs w:val="20"/>
          <w:color w:val="auto"/>
        </w:rPr>
      </w:pPr>
    </w:p>
    <w:p>
      <w:pPr>
        <w:ind w:left="580" w:hanging="572"/>
        <w:spacing w:after="0"/>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September 30, 2026;</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31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88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 Olivier Pomel, certify, pursuant to 18 U.S.C. Section 1350, as adopted pursuant to Section 906 of the Sarbanes-Oxley Act of 2002, that the Quarterly Report on Form 10-Q of Datadog, Inc. for the fiscal quarter ended September 30, 2026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31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4"/>
        </w:trPr>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Olivier Pomel</w:t>
            </w:r>
          </w:p>
        </w:tc>
      </w:tr>
      <w:tr>
        <w:trPr>
          <w:trHeight w:val="232"/>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88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 David Obstler, certify, pursuant to 18 U.S.C. Section 1350, as adopted pursuant to Section 906 of the Sarbanes-Oxley Act of 2002, that the Quarterly Report on Form 10-Q of Datadog, Inc. for the fiscal quarter ended September 30, 2026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31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2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2"/>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3" Type="http://schemas.openxmlformats.org/officeDocument/2006/relationships/hyperlink" Target="https://www.sec.gov/Archives/edgar/data/1561550/000119312526168261/d81305dex21.htm" TargetMode="External"/><Relationship Id="rId104" Type="http://schemas.openxmlformats.org/officeDocument/2006/relationships/hyperlink" Target="https://www.sec.gov/Archives/edgar/data/1561550/000119312526168261/d81305dex31.htm" TargetMode="External"/><Relationship Id="rId105" Type="http://schemas.openxmlformats.org/officeDocument/2006/relationships/hyperlink" Target="https://www.sec.gov/Archives/edgar/data/1561550/000119312526168261/d8130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2026-11-04T16:29:00Z</dcterms:created>
  <dcterms:modified xsi:type="dcterms:W3CDTF">2026-11-04T16:29:00Z</dcterms:modified>
</cp:coreProperties>
</file>